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B8811" w14:textId="1BF78DD1" w:rsidR="00440127" w:rsidRPr="004E680F" w:rsidRDefault="00440127" w:rsidP="00440127">
      <w:pPr>
        <w:pStyle w:val="Default"/>
        <w:jc w:val="right"/>
      </w:pPr>
      <w:r w:rsidRPr="004E680F">
        <w:t>Lisa 3</w:t>
      </w:r>
    </w:p>
    <w:p w14:paraId="1EA93AEB" w14:textId="0308563C" w:rsidR="00440127" w:rsidRPr="004E680F" w:rsidRDefault="00440127" w:rsidP="00440127">
      <w:pPr>
        <w:pStyle w:val="Default"/>
        <w:jc w:val="right"/>
      </w:pPr>
      <w:r w:rsidRPr="004E680F">
        <w:t>Haridus- ja teadusministri käskkirja</w:t>
      </w:r>
      <w:r w:rsidRPr="004E680F">
        <w:br/>
        <w:t xml:space="preserve">„Toetuse andmise tingimuste kehtestamine tegevuse </w:t>
      </w:r>
    </w:p>
    <w:p w14:paraId="5D461CEA" w14:textId="77777777" w:rsidR="00440127" w:rsidRPr="004E680F" w:rsidRDefault="00440127" w:rsidP="00440127">
      <w:pPr>
        <w:pStyle w:val="Default"/>
        <w:jc w:val="right"/>
      </w:pPr>
      <w:r w:rsidRPr="004E680F">
        <w:t xml:space="preserve">„Temaatiliste teadus- ja arendustegevuse programmide </w:t>
      </w:r>
    </w:p>
    <w:p w14:paraId="65D02B27" w14:textId="77777777" w:rsidR="00440127" w:rsidRPr="004E680F" w:rsidRDefault="00440127" w:rsidP="00440127">
      <w:pPr>
        <w:pStyle w:val="Default"/>
        <w:jc w:val="right"/>
      </w:pPr>
      <w:r w:rsidRPr="004E680F">
        <w:t xml:space="preserve">rakendamise akadeemilise, era- ja avaliku sektori </w:t>
      </w:r>
    </w:p>
    <w:p w14:paraId="7E145174" w14:textId="77777777" w:rsidR="00440127" w:rsidRPr="004E680F" w:rsidRDefault="00440127" w:rsidP="00440127">
      <w:pPr>
        <w:pStyle w:val="Default"/>
        <w:jc w:val="right"/>
      </w:pPr>
      <w:r w:rsidRPr="004E680F">
        <w:t xml:space="preserve">koosloome ja koostöö edendamiseks nutika </w:t>
      </w:r>
    </w:p>
    <w:p w14:paraId="23B910E6" w14:textId="77777777" w:rsidR="00440127" w:rsidRPr="004E680F" w:rsidRDefault="00440127" w:rsidP="00440127">
      <w:pPr>
        <w:pStyle w:val="Default"/>
        <w:jc w:val="right"/>
      </w:pPr>
      <w:r w:rsidRPr="004E680F">
        <w:t xml:space="preserve">spetsialiseerumise valdkondades“ elluviimiseks“ </w:t>
      </w:r>
    </w:p>
    <w:p w14:paraId="07B4E6BA" w14:textId="7A582CBC" w:rsidR="00113F15" w:rsidRPr="004E680F" w:rsidRDefault="00440127" w:rsidP="00440127">
      <w:pPr>
        <w:pStyle w:val="Default"/>
        <w:jc w:val="right"/>
      </w:pPr>
      <w:r w:rsidRPr="004E680F">
        <w:t>eelnõu seletuskirja juurde</w:t>
      </w:r>
    </w:p>
    <w:p w14:paraId="0222AFAD" w14:textId="77777777" w:rsidR="00C752C8" w:rsidRPr="004E680F" w:rsidRDefault="00C752C8" w:rsidP="00440127">
      <w:pPr>
        <w:pStyle w:val="Default"/>
        <w:jc w:val="right"/>
      </w:pPr>
    </w:p>
    <w:p w14:paraId="0BBD5AF0" w14:textId="4549C6FF" w:rsidR="00C752C8" w:rsidRPr="004E680F" w:rsidRDefault="00C752C8" w:rsidP="00C752C8">
      <w:pPr>
        <w:pStyle w:val="Default"/>
        <w:jc w:val="center"/>
      </w:pPr>
      <w:r w:rsidRPr="004E680F">
        <w:t>KOOSKÕLASTUSTABEL</w:t>
      </w:r>
    </w:p>
    <w:p w14:paraId="2B8D8451" w14:textId="77777777" w:rsidR="00C752C8" w:rsidRPr="004E680F" w:rsidRDefault="00C752C8" w:rsidP="00C752C8">
      <w:pPr>
        <w:pStyle w:val="Default"/>
        <w:jc w:val="right"/>
      </w:pPr>
    </w:p>
    <w:tbl>
      <w:tblPr>
        <w:tblStyle w:val="Kontuurtabel"/>
        <w:tblW w:w="0" w:type="auto"/>
        <w:tblLook w:val="04A0" w:firstRow="1" w:lastRow="0" w:firstColumn="1" w:lastColumn="0" w:noHBand="0" w:noVBand="1"/>
      </w:tblPr>
      <w:tblGrid>
        <w:gridCol w:w="562"/>
        <w:gridCol w:w="1843"/>
        <w:gridCol w:w="5794"/>
        <w:gridCol w:w="5795"/>
      </w:tblGrid>
      <w:tr w:rsidR="00AD4094" w:rsidRPr="004E680F" w14:paraId="52D2FD9C" w14:textId="77777777" w:rsidTr="004E680F">
        <w:tc>
          <w:tcPr>
            <w:tcW w:w="562" w:type="dxa"/>
          </w:tcPr>
          <w:p w14:paraId="0345A8C5" w14:textId="10567BE1" w:rsidR="00AD4094" w:rsidRPr="004E680F" w:rsidRDefault="00AD4094" w:rsidP="004E680F">
            <w:pPr>
              <w:pStyle w:val="Default"/>
              <w:spacing w:before="120" w:after="120"/>
              <w:jc w:val="both"/>
            </w:pPr>
            <w:r w:rsidRPr="004E680F">
              <w:t>Nr</w:t>
            </w:r>
          </w:p>
        </w:tc>
        <w:tc>
          <w:tcPr>
            <w:tcW w:w="1843" w:type="dxa"/>
          </w:tcPr>
          <w:p w14:paraId="22682E03" w14:textId="2F1C761C" w:rsidR="00AD4094" w:rsidRPr="004E680F" w:rsidRDefault="00AD4094" w:rsidP="004E680F">
            <w:pPr>
              <w:pStyle w:val="Default"/>
              <w:spacing w:before="120" w:after="120"/>
              <w:jc w:val="both"/>
            </w:pPr>
            <w:r w:rsidRPr="004E680F">
              <w:t>Asutus</w:t>
            </w:r>
          </w:p>
        </w:tc>
        <w:tc>
          <w:tcPr>
            <w:tcW w:w="5794" w:type="dxa"/>
          </w:tcPr>
          <w:p w14:paraId="11B9F586" w14:textId="71B6AE12" w:rsidR="00AD4094" w:rsidRPr="004E680F" w:rsidRDefault="00AD4094" w:rsidP="004E680F">
            <w:pPr>
              <w:pStyle w:val="Default"/>
              <w:spacing w:before="120" w:after="120"/>
              <w:jc w:val="both"/>
            </w:pPr>
            <w:r w:rsidRPr="004E680F">
              <w:t>Kommentaar/ ettepaneku sisu</w:t>
            </w:r>
          </w:p>
        </w:tc>
        <w:tc>
          <w:tcPr>
            <w:tcW w:w="5795" w:type="dxa"/>
          </w:tcPr>
          <w:p w14:paraId="260CC449" w14:textId="75C68493" w:rsidR="00AD4094" w:rsidRPr="004E680F" w:rsidRDefault="00AD4094" w:rsidP="004E680F">
            <w:pPr>
              <w:pStyle w:val="Default"/>
              <w:spacing w:before="120" w:after="120"/>
              <w:jc w:val="both"/>
            </w:pPr>
            <w:r w:rsidRPr="004E680F">
              <w:t>Haridus- ja Teadusministeeriumi seisukoht</w:t>
            </w:r>
          </w:p>
        </w:tc>
      </w:tr>
      <w:tr w:rsidR="00AD4094" w:rsidRPr="004E680F" w14:paraId="6806631C" w14:textId="77777777" w:rsidTr="004E680F">
        <w:tc>
          <w:tcPr>
            <w:tcW w:w="562" w:type="dxa"/>
          </w:tcPr>
          <w:p w14:paraId="03582264" w14:textId="71EBCBD9" w:rsidR="00AD4094" w:rsidRPr="004E680F" w:rsidRDefault="00AD4094" w:rsidP="004E680F">
            <w:pPr>
              <w:pStyle w:val="Default"/>
              <w:spacing w:before="120" w:after="120"/>
              <w:jc w:val="both"/>
            </w:pPr>
            <w:r w:rsidRPr="004E680F">
              <w:t>1</w:t>
            </w:r>
          </w:p>
        </w:tc>
        <w:tc>
          <w:tcPr>
            <w:tcW w:w="1843" w:type="dxa"/>
          </w:tcPr>
          <w:p w14:paraId="672C0C33" w14:textId="5C3D0BC5" w:rsidR="00AD4094" w:rsidRPr="004E680F" w:rsidRDefault="00AD4094" w:rsidP="004E680F">
            <w:pPr>
              <w:pStyle w:val="Default"/>
              <w:spacing w:before="120" w:after="120"/>
              <w:jc w:val="both"/>
            </w:pPr>
            <w:r w:rsidRPr="004E680F">
              <w:t>Tartu Ülikool</w:t>
            </w:r>
          </w:p>
        </w:tc>
        <w:tc>
          <w:tcPr>
            <w:tcW w:w="5794" w:type="dxa"/>
          </w:tcPr>
          <w:p w14:paraId="1FDCF15F" w14:textId="57DD22C6" w:rsidR="00AD4094" w:rsidRPr="004E680F" w:rsidRDefault="00AD4094" w:rsidP="004E680F">
            <w:pPr>
              <w:pStyle w:val="Default"/>
              <w:spacing w:before="120" w:after="120"/>
              <w:jc w:val="both"/>
            </w:pPr>
            <w:r w:rsidRPr="004E680F">
              <w:t xml:space="preserve">Eelnõu seletuskirjas on öeldud, et eelnõu lisa 1 punktides 2.1-2.3 defineeritud mõisted lähtuvad kehtivast TA-tegevuse korralduse seadusest. Lisa 1 punktis üks on defineeritud, et alusuuringud on algupärased teoreetilised ja eksperimentaalsed uuringud uute teadmiste saamiseks nähtuste ja sündmuste põhialuste kohta, seadmata eesmärgiks saadud teadmiste kohest rakendamist. Kehtivas TA-tegevuse korralduse seaduses on ja asemel </w:t>
            </w:r>
            <w:r w:rsidRPr="004E680F">
              <w:rPr>
                <w:b/>
                <w:bCs/>
              </w:rPr>
              <w:t>või</w:t>
            </w:r>
            <w:r w:rsidRPr="004E680F">
              <w:t>. Palun ühtlustada.</w:t>
            </w:r>
          </w:p>
        </w:tc>
        <w:tc>
          <w:tcPr>
            <w:tcW w:w="5795" w:type="dxa"/>
          </w:tcPr>
          <w:p w14:paraId="2EBCF992" w14:textId="77777777" w:rsidR="000E1170" w:rsidRPr="004E680F" w:rsidRDefault="00A0687D" w:rsidP="004E680F">
            <w:pPr>
              <w:pStyle w:val="Default"/>
              <w:spacing w:before="120" w:after="120"/>
              <w:jc w:val="both"/>
            </w:pPr>
            <w:r w:rsidRPr="004E680F">
              <w:rPr>
                <w:b/>
                <w:bCs/>
              </w:rPr>
              <w:t>Arvestatud</w:t>
            </w:r>
            <w:r w:rsidRPr="004E680F">
              <w:t xml:space="preserve">. </w:t>
            </w:r>
          </w:p>
          <w:p w14:paraId="7A24921D" w14:textId="1FF61BD1" w:rsidR="00AD4094" w:rsidRPr="004E680F" w:rsidRDefault="00A0687D" w:rsidP="004E680F">
            <w:pPr>
              <w:pStyle w:val="Default"/>
              <w:spacing w:before="120" w:after="120"/>
              <w:jc w:val="both"/>
            </w:pPr>
            <w:r w:rsidRPr="004E680F">
              <w:t xml:space="preserve">Lisa 1 punkt 2.1 </w:t>
            </w:r>
            <w:r w:rsidR="007B05E7">
              <w:t xml:space="preserve">on </w:t>
            </w:r>
            <w:r w:rsidRPr="004E680F">
              <w:t>korrigeeritud TA-tegevuse korralduse seadusega vastavaks.</w:t>
            </w:r>
          </w:p>
        </w:tc>
      </w:tr>
      <w:tr w:rsidR="00AD4094" w:rsidRPr="004E680F" w14:paraId="563A954E" w14:textId="77777777" w:rsidTr="004E680F">
        <w:tc>
          <w:tcPr>
            <w:tcW w:w="562" w:type="dxa"/>
          </w:tcPr>
          <w:p w14:paraId="65E18B0F" w14:textId="207EA2EF" w:rsidR="00AD4094" w:rsidRPr="004E680F" w:rsidRDefault="00AD4094" w:rsidP="004E680F">
            <w:pPr>
              <w:pStyle w:val="Default"/>
              <w:spacing w:before="120" w:after="120"/>
              <w:jc w:val="both"/>
            </w:pPr>
            <w:r w:rsidRPr="004E680F">
              <w:t>2</w:t>
            </w:r>
          </w:p>
        </w:tc>
        <w:tc>
          <w:tcPr>
            <w:tcW w:w="1843" w:type="dxa"/>
          </w:tcPr>
          <w:p w14:paraId="18A0AA20" w14:textId="35AE452D" w:rsidR="00AD4094" w:rsidRPr="004E680F" w:rsidRDefault="00AD4094" w:rsidP="004E680F">
            <w:pPr>
              <w:pStyle w:val="Default"/>
              <w:spacing w:before="120" w:after="120"/>
              <w:jc w:val="both"/>
            </w:pPr>
            <w:r w:rsidRPr="004E680F">
              <w:t>Tartu Ülikool</w:t>
            </w:r>
          </w:p>
        </w:tc>
        <w:tc>
          <w:tcPr>
            <w:tcW w:w="5794" w:type="dxa"/>
          </w:tcPr>
          <w:p w14:paraId="66AB41C6" w14:textId="62BAF89E" w:rsidR="00AD4094" w:rsidRPr="004E680F" w:rsidRDefault="00AD4094" w:rsidP="004E680F">
            <w:pPr>
              <w:pStyle w:val="Default"/>
              <w:spacing w:before="120" w:after="120"/>
              <w:jc w:val="both"/>
            </w:pPr>
            <w:r w:rsidRPr="004E680F">
              <w:t>Eelnõu lisas 3 on toodud tabel toetatavate uurimisteemadega. Muuhulgas on Tabeli päises märgitud ühe lahtri pealkirjaks „Toetuse kogusumma“. Kui lähtuda uurimisettepanekute esitamise taotlusvormist ja vaadata lahtri summasid, on pigem tegemist Uurimisteema kogueelarvega. Palun üle vaadata ja korrigeerida.</w:t>
            </w:r>
          </w:p>
        </w:tc>
        <w:tc>
          <w:tcPr>
            <w:tcW w:w="5795" w:type="dxa"/>
          </w:tcPr>
          <w:p w14:paraId="6B796647" w14:textId="77777777" w:rsidR="004E680F" w:rsidRPr="004E680F" w:rsidRDefault="00A0687D" w:rsidP="004E680F">
            <w:pPr>
              <w:pStyle w:val="Default"/>
              <w:spacing w:before="120" w:after="120"/>
              <w:jc w:val="both"/>
            </w:pPr>
            <w:r w:rsidRPr="004E680F">
              <w:rPr>
                <w:b/>
                <w:bCs/>
              </w:rPr>
              <w:t>Arvestatud</w:t>
            </w:r>
            <w:r w:rsidRPr="004E680F">
              <w:t xml:space="preserve">. </w:t>
            </w:r>
          </w:p>
          <w:p w14:paraId="530732F4" w14:textId="58B03AB5" w:rsidR="00AD4094" w:rsidRPr="004E680F" w:rsidRDefault="00A16FC4" w:rsidP="004E680F">
            <w:pPr>
              <w:pStyle w:val="Default"/>
              <w:spacing w:before="120" w:after="120"/>
              <w:jc w:val="both"/>
            </w:pPr>
            <w:r w:rsidRPr="004E680F">
              <w:t>Lisa 3 tabeli</w:t>
            </w:r>
            <w:r w:rsidR="00105081" w:rsidRPr="004E680F">
              <w:t>te</w:t>
            </w:r>
            <w:r w:rsidRPr="004E680F">
              <w:t xml:space="preserve"> päis</w:t>
            </w:r>
            <w:r w:rsidR="00105081" w:rsidRPr="004E680F">
              <w:t>etekst</w:t>
            </w:r>
            <w:r w:rsidR="007B05E7">
              <w:t xml:space="preserve"> on</w:t>
            </w:r>
            <w:r w:rsidRPr="004E680F">
              <w:t xml:space="preserve"> korrigeeritud.</w:t>
            </w:r>
          </w:p>
        </w:tc>
      </w:tr>
      <w:tr w:rsidR="00AD4094" w:rsidRPr="004E680F" w14:paraId="6DE0AE55" w14:textId="77777777" w:rsidTr="004E680F">
        <w:tc>
          <w:tcPr>
            <w:tcW w:w="562" w:type="dxa"/>
          </w:tcPr>
          <w:p w14:paraId="299E8195" w14:textId="5F8CD555" w:rsidR="00AD4094" w:rsidRPr="004E680F" w:rsidRDefault="00AD4094" w:rsidP="004E680F">
            <w:pPr>
              <w:pStyle w:val="Default"/>
              <w:spacing w:before="120" w:after="120"/>
              <w:jc w:val="both"/>
            </w:pPr>
            <w:r w:rsidRPr="004E680F">
              <w:t>3</w:t>
            </w:r>
          </w:p>
        </w:tc>
        <w:tc>
          <w:tcPr>
            <w:tcW w:w="1843" w:type="dxa"/>
          </w:tcPr>
          <w:p w14:paraId="40DDF7B6" w14:textId="6759D64B" w:rsidR="00AD4094" w:rsidRPr="004E680F" w:rsidRDefault="00AD4094" w:rsidP="004E680F">
            <w:pPr>
              <w:pStyle w:val="Default"/>
              <w:spacing w:before="120" w:after="120"/>
              <w:jc w:val="both"/>
            </w:pPr>
            <w:r w:rsidRPr="004E680F">
              <w:t>Tartu Ülikool</w:t>
            </w:r>
          </w:p>
        </w:tc>
        <w:tc>
          <w:tcPr>
            <w:tcW w:w="5794" w:type="dxa"/>
          </w:tcPr>
          <w:p w14:paraId="1E74DF01" w14:textId="335F5655" w:rsidR="00AD4094" w:rsidRPr="004E680F" w:rsidRDefault="00AD4094" w:rsidP="004E680F">
            <w:pPr>
              <w:pStyle w:val="Default"/>
              <w:spacing w:before="120" w:after="120"/>
              <w:jc w:val="both"/>
            </w:pPr>
            <w:r w:rsidRPr="004E680F">
              <w:t xml:space="preserve">Eelnõu seletuskirjas on öeldud, et eelnõu lisa 1 punktiga 12 sätestatakse kulude abikõlblikkus. Muuhulgas on seal </w:t>
            </w:r>
            <w:r w:rsidRPr="004E680F">
              <w:lastRenderedPageBreak/>
              <w:t>öeldud, et ühikuhind on arvestatud sellisena, et see katab uurimisprojekti täitmise kulud täies ulatuses ning ühikuhinda uurimisprojekti perioodil ei muudeta. See on vastuolus eelnõu lisa 2 (ühikuhinnad) punktiga 1.5, mis ütleb, et kui ETAGi rühmagrandi ühikuhindu muudetakse, korrigeeritakse ka ühikuhindade alusel toetatavate tegevuste ühikuhindu. Korrigeeritud ühikuhinnad kehtivad pärast korrigeerimist esitatud taotlustele. Palun viia seletuskiri vastavusse eelnõu lisaga 2.</w:t>
            </w:r>
          </w:p>
        </w:tc>
        <w:tc>
          <w:tcPr>
            <w:tcW w:w="5795" w:type="dxa"/>
          </w:tcPr>
          <w:p w14:paraId="58CC29CE" w14:textId="77777777" w:rsidR="004E680F" w:rsidRPr="004E680F" w:rsidRDefault="00532EA9" w:rsidP="004E680F">
            <w:pPr>
              <w:pStyle w:val="Default"/>
              <w:spacing w:before="120" w:after="120"/>
              <w:jc w:val="both"/>
            </w:pPr>
            <w:r w:rsidRPr="004E680F">
              <w:rPr>
                <w:b/>
                <w:bCs/>
              </w:rPr>
              <w:lastRenderedPageBreak/>
              <w:t>Arvestatud osaliselt.</w:t>
            </w:r>
            <w:r w:rsidRPr="004E680F">
              <w:t xml:space="preserve"> </w:t>
            </w:r>
          </w:p>
          <w:p w14:paraId="321F315B" w14:textId="025D8536" w:rsidR="00AD4094" w:rsidRPr="004E680F" w:rsidRDefault="00532EA9" w:rsidP="004E680F">
            <w:pPr>
              <w:pStyle w:val="Default"/>
              <w:spacing w:before="120" w:after="120"/>
              <w:jc w:val="both"/>
            </w:pPr>
            <w:r w:rsidRPr="004E680F">
              <w:lastRenderedPageBreak/>
              <w:t>Seletuskirja on täiendatud.</w:t>
            </w:r>
          </w:p>
          <w:p w14:paraId="049BF3B2" w14:textId="481B2055" w:rsidR="00532EA9" w:rsidRPr="004E680F" w:rsidRDefault="00532EA9" w:rsidP="004E680F">
            <w:pPr>
              <w:pStyle w:val="Default"/>
              <w:spacing w:before="120" w:after="120"/>
              <w:jc w:val="both"/>
            </w:pPr>
            <w:bookmarkStart w:id="0" w:name="_Hlk165902242"/>
            <w:r w:rsidRPr="004E680F">
              <w:t xml:space="preserve">Ühikuhind ei muutu alates uurimisteema ettepanku esitamisest kuni uurimisprojekti lõpuni. </w:t>
            </w:r>
            <w:r w:rsidR="005B4C42" w:rsidRPr="004E680F">
              <w:t>Lisa 2 punkt 1.5</w:t>
            </w:r>
            <w:r w:rsidR="004E680F">
              <w:t>.</w:t>
            </w:r>
            <w:r w:rsidR="005B4C42" w:rsidRPr="004E680F">
              <w:t xml:space="preserve"> on vastavuses ETAGi rühmagrandi ühikuhindade muutmise tingimustega ehk</w:t>
            </w:r>
            <w:r w:rsidR="004E680F">
              <w:t xml:space="preserve"> </w:t>
            </w:r>
            <w:r w:rsidRPr="004E680F">
              <w:t xml:space="preserve">kui muudetakse ETAGi rühmagrandi ühikuhindu, hakkavad muudetud ühikuhinnad kehtima alates järgmisest taotlusvoorust.  </w:t>
            </w:r>
            <w:bookmarkEnd w:id="0"/>
          </w:p>
        </w:tc>
      </w:tr>
      <w:tr w:rsidR="00242930" w:rsidRPr="004E680F" w14:paraId="0F3CC3A8" w14:textId="77777777" w:rsidTr="004E680F">
        <w:tc>
          <w:tcPr>
            <w:tcW w:w="562" w:type="dxa"/>
          </w:tcPr>
          <w:p w14:paraId="51B8EB80" w14:textId="4CA5ED19" w:rsidR="00242930" w:rsidRPr="004E680F" w:rsidRDefault="007D7594" w:rsidP="004E680F">
            <w:pPr>
              <w:pStyle w:val="Default"/>
              <w:spacing w:before="120" w:after="120"/>
              <w:jc w:val="both"/>
            </w:pPr>
            <w:r w:rsidRPr="004E680F">
              <w:lastRenderedPageBreak/>
              <w:t>4</w:t>
            </w:r>
          </w:p>
        </w:tc>
        <w:tc>
          <w:tcPr>
            <w:tcW w:w="1843" w:type="dxa"/>
          </w:tcPr>
          <w:p w14:paraId="3E2F6B89" w14:textId="24829375" w:rsidR="00242930" w:rsidRPr="004E680F" w:rsidRDefault="00242930" w:rsidP="004E680F">
            <w:pPr>
              <w:pStyle w:val="Default"/>
              <w:spacing w:before="120" w:after="120"/>
              <w:jc w:val="both"/>
            </w:pPr>
            <w:r w:rsidRPr="004E680F">
              <w:t>Riigi Tugiteenuste Keskus (RTK)</w:t>
            </w:r>
          </w:p>
        </w:tc>
        <w:tc>
          <w:tcPr>
            <w:tcW w:w="5794" w:type="dxa"/>
          </w:tcPr>
          <w:p w14:paraId="3C3D3F09" w14:textId="5C5B6E79" w:rsidR="00242930" w:rsidRPr="004E680F" w:rsidRDefault="00DF60A8" w:rsidP="004E680F">
            <w:pPr>
              <w:pStyle w:val="Default"/>
              <w:tabs>
                <w:tab w:val="left" w:pos="1530"/>
              </w:tabs>
              <w:spacing w:before="120" w:after="120"/>
              <w:jc w:val="both"/>
            </w:pPr>
            <w:r w:rsidRPr="004E680F">
              <w:t>Oluline on tagada, et enne käskkirja kinnitamist oleks kontrollitud ja seeläbi tagatud, et käskkirjast toetust saavad partnerite tegevused vastavad nii ÜSM, fondimääruste kui ka riigiabi reeglitele</w:t>
            </w:r>
            <w:r w:rsidR="0068171C" w:rsidRPr="004E680F">
              <w:t>.</w:t>
            </w:r>
          </w:p>
        </w:tc>
        <w:tc>
          <w:tcPr>
            <w:tcW w:w="5795" w:type="dxa"/>
          </w:tcPr>
          <w:p w14:paraId="79163B0A" w14:textId="77777777" w:rsidR="00242930" w:rsidRPr="004E680F" w:rsidRDefault="00AF34AC" w:rsidP="004E680F">
            <w:pPr>
              <w:pStyle w:val="Default"/>
              <w:spacing w:before="120" w:after="120"/>
              <w:jc w:val="both"/>
              <w:rPr>
                <w:b/>
                <w:bCs/>
              </w:rPr>
            </w:pPr>
            <w:r w:rsidRPr="004E680F">
              <w:rPr>
                <w:b/>
                <w:bCs/>
              </w:rPr>
              <w:t>Teadmiseks võetud.</w:t>
            </w:r>
          </w:p>
          <w:p w14:paraId="14A81510" w14:textId="69FE054E" w:rsidR="000762C3" w:rsidRPr="004E680F" w:rsidRDefault="00A5070B" w:rsidP="004E680F">
            <w:pPr>
              <w:pStyle w:val="Default"/>
              <w:spacing w:before="120" w:after="120"/>
              <w:jc w:val="both"/>
            </w:pPr>
            <w:r w:rsidRPr="004A4FA7">
              <w:t>Tegevus 1 viiakse ellu lisas 3 nimetatud uurimisteemal koostöös ülikooli või positiivselt evalveeritud TA-asutusega, kes on antud käskkirja mõistes partner</w:t>
            </w:r>
            <w:r>
              <w:t xml:space="preserve">. </w:t>
            </w:r>
            <w:r w:rsidR="00F8220E" w:rsidRPr="004E680F">
              <w:t>Uurimisteemad on välja valitud siseriikliku konkursiga rakendus</w:t>
            </w:r>
            <w:r w:rsidR="00F8220E" w:rsidRPr="004E680F">
              <w:softHyphen/>
              <w:t xml:space="preserve">asutuse poolt vastavalt rakendusasutuse poolt kinnitatud </w:t>
            </w:r>
            <w:r w:rsidR="001B01BB" w:rsidRPr="004E680F">
              <w:t xml:space="preserve">uurimisteemade </w:t>
            </w:r>
            <w:r w:rsidR="00F8220E" w:rsidRPr="004E680F">
              <w:t>konkursi tingimustele ja korrale.</w:t>
            </w:r>
            <w:r w:rsidR="001B01BB" w:rsidRPr="004E680F">
              <w:t xml:space="preserve"> Uurimisteema </w:t>
            </w:r>
            <w:r w:rsidR="000762C3" w:rsidRPr="004E680F">
              <w:t>täpsem sisu</w:t>
            </w:r>
            <w:r w:rsidR="001B01BB" w:rsidRPr="004E680F">
              <w:t xml:space="preserve"> sh</w:t>
            </w:r>
            <w:r w:rsidR="000762C3" w:rsidRPr="004E680F">
              <w:t xml:space="preserve"> uurimis</w:t>
            </w:r>
            <w:r w:rsidR="001B01BB" w:rsidRPr="004E680F">
              <w:softHyphen/>
            </w:r>
            <w:r w:rsidR="000762C3" w:rsidRPr="004E680F">
              <w:t>küsimused</w:t>
            </w:r>
            <w:r w:rsidR="001B01BB" w:rsidRPr="004E680F">
              <w:t xml:space="preserve">, </w:t>
            </w:r>
            <w:r w:rsidR="004E680F">
              <w:t>uurimis</w:t>
            </w:r>
            <w:r w:rsidR="000762C3" w:rsidRPr="004E680F">
              <w:t>metoodika</w:t>
            </w:r>
            <w:r w:rsidR="001B01BB" w:rsidRPr="004E680F">
              <w:t>, ajakava jm</w:t>
            </w:r>
            <w:r w:rsidR="000762C3" w:rsidRPr="004E680F">
              <w:t xml:space="preserve"> kirjeldatakse uurimis</w:t>
            </w:r>
            <w:r w:rsidR="004E680F">
              <w:softHyphen/>
            </w:r>
            <w:r w:rsidR="000762C3" w:rsidRPr="004E680F">
              <w:t>projektis</w:t>
            </w:r>
            <w:r w:rsidR="001B01BB" w:rsidRPr="004E680F">
              <w:t>, mis sisestatakse ETISesse.</w:t>
            </w:r>
            <w:r w:rsidR="00156D11">
              <w:t xml:space="preserve"> </w:t>
            </w:r>
            <w:r w:rsidR="00156D11" w:rsidRPr="007B209B">
              <w:t>Uurimis</w:t>
            </w:r>
            <w:r w:rsidR="00443CE0" w:rsidRPr="007B209B">
              <w:t>projektid</w:t>
            </w:r>
            <w:r w:rsidR="00156D11" w:rsidRPr="007B209B">
              <w:t xml:space="preserve"> on kooskõlas ÜSM</w:t>
            </w:r>
            <w:r w:rsidR="00443CE0" w:rsidRPr="007B209B">
              <w:t>i</w:t>
            </w:r>
            <w:r w:rsidR="00156D11" w:rsidRPr="007B209B">
              <w:t xml:space="preserve"> </w:t>
            </w:r>
            <w:r w:rsidR="00BA2C61" w:rsidRPr="007B209B">
              <w:t>ning</w:t>
            </w:r>
            <w:r w:rsidR="00156D11" w:rsidRPr="007B209B">
              <w:t xml:space="preserve"> fondimääruste tingimus</w:t>
            </w:r>
            <w:r w:rsidR="00443CE0" w:rsidRPr="007B209B">
              <w:t>tega</w:t>
            </w:r>
            <w:r w:rsidR="00156D11" w:rsidRPr="007B209B">
              <w:t>.</w:t>
            </w:r>
            <w:r w:rsidR="00443CE0">
              <w:t xml:space="preserve"> Vastavuskontrolli viib läbi elluviija ETISesse sisestatud uurimisprojekti </w:t>
            </w:r>
            <w:r w:rsidR="0067314E">
              <w:t>põhjal.</w:t>
            </w:r>
            <w:r w:rsidR="00156D11">
              <w:t xml:space="preserve">  </w:t>
            </w:r>
          </w:p>
        </w:tc>
      </w:tr>
      <w:tr w:rsidR="006C50D7" w:rsidRPr="004E680F" w14:paraId="065F0C15" w14:textId="77777777" w:rsidTr="004E680F">
        <w:tc>
          <w:tcPr>
            <w:tcW w:w="562" w:type="dxa"/>
          </w:tcPr>
          <w:p w14:paraId="64F79973" w14:textId="2FCDAD3F" w:rsidR="006C50D7" w:rsidRPr="004E680F" w:rsidRDefault="007D7594" w:rsidP="004E680F">
            <w:pPr>
              <w:pStyle w:val="Default"/>
              <w:spacing w:before="120" w:after="120"/>
              <w:jc w:val="both"/>
            </w:pPr>
            <w:r w:rsidRPr="004E680F">
              <w:t>5</w:t>
            </w:r>
          </w:p>
        </w:tc>
        <w:tc>
          <w:tcPr>
            <w:tcW w:w="1843" w:type="dxa"/>
          </w:tcPr>
          <w:p w14:paraId="09C6BAA8" w14:textId="60E98234" w:rsidR="006C50D7" w:rsidRPr="004E680F" w:rsidRDefault="006C50D7" w:rsidP="004E680F">
            <w:pPr>
              <w:pStyle w:val="Default"/>
              <w:spacing w:before="120" w:after="120"/>
              <w:jc w:val="both"/>
            </w:pPr>
            <w:r w:rsidRPr="004E680F">
              <w:t>RTK</w:t>
            </w:r>
          </w:p>
        </w:tc>
        <w:tc>
          <w:tcPr>
            <w:tcW w:w="5794" w:type="dxa"/>
          </w:tcPr>
          <w:p w14:paraId="27F36565" w14:textId="39F06BF7" w:rsidR="006C50D7" w:rsidRPr="004E680F" w:rsidRDefault="006C50D7" w:rsidP="004E680F">
            <w:pPr>
              <w:pStyle w:val="Default"/>
              <w:tabs>
                <w:tab w:val="left" w:pos="1530"/>
              </w:tabs>
              <w:spacing w:before="120" w:after="120"/>
              <w:jc w:val="both"/>
            </w:pPr>
            <w:r w:rsidRPr="004E680F">
              <w:t>Koos käskkirjaga tuleb esitada ka ETIS-esse esitatud uurimisprojektide kontroll-lehed</w:t>
            </w:r>
            <w:r w:rsidR="004E680F">
              <w:t>.</w:t>
            </w:r>
          </w:p>
        </w:tc>
        <w:tc>
          <w:tcPr>
            <w:tcW w:w="5795" w:type="dxa"/>
          </w:tcPr>
          <w:p w14:paraId="38C96393" w14:textId="77777777" w:rsidR="006C50D7" w:rsidRPr="004E680F" w:rsidRDefault="00E8323D" w:rsidP="004E680F">
            <w:pPr>
              <w:pStyle w:val="Default"/>
              <w:spacing w:before="120" w:after="120"/>
              <w:jc w:val="both"/>
              <w:rPr>
                <w:b/>
                <w:bCs/>
              </w:rPr>
            </w:pPr>
            <w:r w:rsidRPr="004E680F">
              <w:rPr>
                <w:b/>
                <w:bCs/>
              </w:rPr>
              <w:t xml:space="preserve">Ei arvesta. </w:t>
            </w:r>
          </w:p>
          <w:p w14:paraId="3F85AD88" w14:textId="71C9796E" w:rsidR="006C50D7" w:rsidRPr="004E680F" w:rsidRDefault="00E8323D" w:rsidP="004E680F">
            <w:pPr>
              <w:pStyle w:val="Default"/>
              <w:spacing w:before="120" w:after="120"/>
              <w:jc w:val="both"/>
            </w:pPr>
            <w:r w:rsidRPr="004E680F">
              <w:t xml:space="preserve">Konkurss ja uurimisprojektide valik olid TAT-i koostamisele eelnevad tegevused ning ETIS-esse sisestamise kontroll-lehed ei ole TAT-i reguleerimisalas. </w:t>
            </w:r>
          </w:p>
        </w:tc>
      </w:tr>
      <w:tr w:rsidR="006C50D7" w:rsidRPr="004E680F" w14:paraId="0C9336FB" w14:textId="77777777" w:rsidTr="004E680F">
        <w:tc>
          <w:tcPr>
            <w:tcW w:w="562" w:type="dxa"/>
          </w:tcPr>
          <w:p w14:paraId="69EC9CAF" w14:textId="537A913E" w:rsidR="006C50D7" w:rsidRPr="004E680F" w:rsidRDefault="007D7594" w:rsidP="004E680F">
            <w:pPr>
              <w:pStyle w:val="Default"/>
              <w:spacing w:before="120" w:after="120"/>
              <w:jc w:val="both"/>
            </w:pPr>
            <w:r w:rsidRPr="004E680F">
              <w:t>6</w:t>
            </w:r>
          </w:p>
        </w:tc>
        <w:tc>
          <w:tcPr>
            <w:tcW w:w="1843" w:type="dxa"/>
          </w:tcPr>
          <w:p w14:paraId="3543E82D" w14:textId="3E69E81C" w:rsidR="006C50D7" w:rsidRPr="004E680F" w:rsidRDefault="006C50D7" w:rsidP="004E680F">
            <w:pPr>
              <w:pStyle w:val="Default"/>
              <w:spacing w:before="120" w:after="120"/>
              <w:jc w:val="both"/>
            </w:pPr>
            <w:r w:rsidRPr="004E680F">
              <w:t>RTK</w:t>
            </w:r>
          </w:p>
        </w:tc>
        <w:tc>
          <w:tcPr>
            <w:tcW w:w="5794" w:type="dxa"/>
          </w:tcPr>
          <w:p w14:paraId="1BBEA536" w14:textId="77777777" w:rsidR="004F2C25" w:rsidRPr="004E680F" w:rsidRDefault="006C50D7" w:rsidP="004E680F">
            <w:pPr>
              <w:pStyle w:val="Default"/>
              <w:tabs>
                <w:tab w:val="left" w:pos="1530"/>
              </w:tabs>
              <w:spacing w:before="120" w:after="120"/>
              <w:jc w:val="both"/>
            </w:pPr>
            <w:r w:rsidRPr="004E680F">
              <w:t xml:space="preserve">Lisas 3 toodud kaheksale uurimisteemale on esitatud tingimused. Lähtuvalt Euroopa Komisjoni tagasisidest eelnõule peab korraldusasutus tagama, et DNSH ("ei </w:t>
            </w:r>
            <w:r w:rsidRPr="004E680F">
              <w:lastRenderedPageBreak/>
              <w:t xml:space="preserve">kahjusta oluliselt" põhimõte) on arvesse võetud kõigi valitud uurimisteemade lõikes, sealhulgas ka nende projektide puhul, millele on seatud tingimused. Palun lisada seletuskirja, kuidas uurimisteemade valikul arvestati DNSH põhimõttega. </w:t>
            </w:r>
          </w:p>
          <w:p w14:paraId="092ED0D4" w14:textId="60DD1013" w:rsidR="006C50D7" w:rsidRPr="004E680F" w:rsidRDefault="006C50D7" w:rsidP="004E680F">
            <w:pPr>
              <w:pStyle w:val="Default"/>
              <w:tabs>
                <w:tab w:val="left" w:pos="1530"/>
              </w:tabs>
              <w:spacing w:before="120" w:after="120"/>
              <w:jc w:val="both"/>
            </w:pPr>
            <w:r w:rsidRPr="004E680F">
              <w:t>Eelnõust ega seletuskirjast ei selgu, et kuidas kontrollitakse ja tagatakse, et uurimisprojektid, millele on kehtestatud lisatingimused, need täidaksid. Varasema RTK ettepaneku kohaselt peaks enne ETIS-esse taotluse esitamist kontrollima sätestatud tingimuste täitmist ehk enne rahastusotsuse tegemist tuleb kontrollida uurimisprojektile esitatud tingimusi. Lähtuvalt ERDF määruse (EL) 2021/1058 art 7 on vajalik tagada rahastatuse abikõlblikkuse jaoks, et projektid oleksid kooskõlas nii eesmärgi kui ka välistatavate tegevustega. Uurimisprojektide tingimuste sõnastusel palun viidata lisatingimuse korral vastavale välistusele. Samuti on ettepanek ETIS-esse taotluse esitamisel lisada vormi küsimus, kuidas projektides on arvestatud ja arvestatakse "ei kahjusta oluliselt" põhimõtet.</w:t>
            </w:r>
          </w:p>
        </w:tc>
        <w:tc>
          <w:tcPr>
            <w:tcW w:w="5795" w:type="dxa"/>
          </w:tcPr>
          <w:p w14:paraId="059638BC" w14:textId="77777777" w:rsidR="006C50D7" w:rsidRPr="004E680F" w:rsidRDefault="007A183F" w:rsidP="004E680F">
            <w:pPr>
              <w:pStyle w:val="Default"/>
              <w:spacing w:before="120" w:after="120"/>
              <w:jc w:val="both"/>
              <w:rPr>
                <w:b/>
                <w:bCs/>
              </w:rPr>
            </w:pPr>
            <w:r w:rsidRPr="004E680F">
              <w:rPr>
                <w:b/>
                <w:bCs/>
              </w:rPr>
              <w:lastRenderedPageBreak/>
              <w:t>Teadmiseks võetud.</w:t>
            </w:r>
          </w:p>
          <w:p w14:paraId="3B13D48C" w14:textId="772A561B" w:rsidR="004F2C25" w:rsidRPr="004E680F" w:rsidRDefault="004F2C25" w:rsidP="004E680F">
            <w:pPr>
              <w:pStyle w:val="Default"/>
              <w:spacing w:before="120" w:after="120"/>
              <w:jc w:val="both"/>
            </w:pPr>
            <w:r w:rsidRPr="004E680F">
              <w:t xml:space="preserve">Lisa 1 punkt 9.3.4 </w:t>
            </w:r>
            <w:r w:rsidR="007B05E7">
              <w:t xml:space="preserve">on </w:t>
            </w:r>
            <w:r w:rsidRPr="004E680F">
              <w:t>täiendatud.</w:t>
            </w:r>
          </w:p>
          <w:p w14:paraId="415E2AF6" w14:textId="7C639CD9" w:rsidR="00707872" w:rsidRPr="004E680F" w:rsidRDefault="003137B3" w:rsidP="004E680F">
            <w:pPr>
              <w:pStyle w:val="Default"/>
              <w:spacing w:before="120" w:after="120"/>
              <w:jc w:val="both"/>
            </w:pPr>
            <w:r w:rsidRPr="004E680F">
              <w:lastRenderedPageBreak/>
              <w:t xml:space="preserve">DNSH põhimõtetega oli arvestatud uurimisteemade valimisel </w:t>
            </w:r>
            <w:r w:rsidR="004F2C25" w:rsidRPr="004E680F">
              <w:t>ja uurimisteemade</w:t>
            </w:r>
            <w:r w:rsidRPr="004E680F">
              <w:t xml:space="preserve"> hindamis</w:t>
            </w:r>
            <w:r w:rsidR="004F2C25" w:rsidRPr="004E680F">
              <w:t>el</w:t>
            </w:r>
            <w:r w:rsidRPr="004E680F">
              <w:t xml:space="preserve">. </w:t>
            </w:r>
            <w:r w:rsidR="00707872" w:rsidRPr="004E680F">
              <w:t>Arvestades, et Tegevus 1 sisuks on alus- või rakendusuuringute või eksperimentaal</w:t>
            </w:r>
            <w:r w:rsidR="00707872" w:rsidRPr="004E680F">
              <w:softHyphen/>
              <w:t>arenduste läbiviimine, siis võimalus luua olulist kahju keskkonnaeesmärkide saavutamisse on kaudne. Uurimisteemade valikul hinnati uurimisteemade ja uurimistulemuste jäämist ERF kohaldamisala piiresse ning rahastamisest välistati need tegevused (uurimisteemad), mille raames kavandati otseselt toimetada väljaspool ERFi kohaldamisala</w:t>
            </w:r>
            <w:r w:rsidR="004E680F">
              <w:t>.</w:t>
            </w:r>
          </w:p>
          <w:p w14:paraId="640E1D9F" w14:textId="6331323E" w:rsidR="00E03E7B" w:rsidRPr="004E680F" w:rsidRDefault="00E03E7B" w:rsidP="004E680F">
            <w:pPr>
              <w:pStyle w:val="Default"/>
              <w:spacing w:before="120" w:after="120"/>
              <w:jc w:val="both"/>
            </w:pPr>
            <w:r w:rsidRPr="004E680F">
              <w:t xml:space="preserve">Uurimisprojektide sisestamisel ETISesse kinnitavad </w:t>
            </w:r>
            <w:r w:rsidR="00CD22A0" w:rsidRPr="004E680F">
              <w:t xml:space="preserve">ning vajadusel analüüsivad </w:t>
            </w:r>
            <w:r w:rsidRPr="004E680F">
              <w:t xml:space="preserve">TA-asutused, </w:t>
            </w:r>
            <w:r w:rsidR="00BF03F2" w:rsidRPr="004E680F">
              <w:t xml:space="preserve">kuidas </w:t>
            </w:r>
            <w:r w:rsidRPr="004E680F">
              <w:t xml:space="preserve">täidetakse DNSH põhimõtteid, </w:t>
            </w:r>
            <w:r w:rsidR="00707872" w:rsidRPr="004E680F">
              <w:t xml:space="preserve">ning </w:t>
            </w:r>
            <w:r w:rsidRPr="004E680F">
              <w:t xml:space="preserve">vastavust </w:t>
            </w:r>
            <w:bookmarkStart w:id="1" w:name="_Hlk165997079"/>
            <w:r w:rsidRPr="004E680F">
              <w:t>ERDF määruse (EL) 2021/1058 art 7-</w:t>
            </w:r>
            <w:bookmarkEnd w:id="1"/>
            <w:r w:rsidR="00BF03F2" w:rsidRPr="004E680F">
              <w:t>le</w:t>
            </w:r>
            <w:r w:rsidRPr="004E680F">
              <w:t>.</w:t>
            </w:r>
            <w:r w:rsidR="00CD22A0" w:rsidRPr="004E680F">
              <w:t xml:space="preserve"> </w:t>
            </w:r>
            <w:r w:rsidR="00063311" w:rsidRPr="004E680F">
              <w:t>Põhjalikum a</w:t>
            </w:r>
            <w:r w:rsidR="00CD22A0" w:rsidRPr="004E680F">
              <w:t>nalüüs on tarvilik vähemalt nendel uurimisprojektidel, mis saavad käskkirjas rahastamise lisatingimused. ETISesse sisestatud uurimisprojektidele antakse hinnang ekspertkomisjoni poolt (</w:t>
            </w:r>
            <w:r w:rsidR="00063311" w:rsidRPr="004E680F">
              <w:t xml:space="preserve">Lisa 1 pt </w:t>
            </w:r>
            <w:r w:rsidR="00CD22A0" w:rsidRPr="004E680F">
              <w:t>1</w:t>
            </w:r>
            <w:r w:rsidR="00C555E9">
              <w:t>5</w:t>
            </w:r>
            <w:r w:rsidR="00CD22A0" w:rsidRPr="004E680F">
              <w:t>.3.1)</w:t>
            </w:r>
            <w:r w:rsidR="004F2C25" w:rsidRPr="004E680F">
              <w:t>.</w:t>
            </w:r>
            <w:r w:rsidR="00CD22A0" w:rsidRPr="004E680F">
              <w:t xml:space="preserve">  </w:t>
            </w:r>
            <w:r w:rsidR="004F2C25" w:rsidRPr="004E680F">
              <w:t>E</w:t>
            </w:r>
            <w:r w:rsidR="00CD22A0" w:rsidRPr="004E680F">
              <w:t xml:space="preserve">lluviija jälgib partnerite poolt uurimisprojektide ellu viimisel „ei kahjusta oluliselt“ </w:t>
            </w:r>
            <w:r w:rsidR="00707872" w:rsidRPr="004E680F">
              <w:t xml:space="preserve">ja artikkel 7 </w:t>
            </w:r>
            <w:r w:rsidR="00CD22A0" w:rsidRPr="004E680F">
              <w:t>põhimõtete täitmist (</w:t>
            </w:r>
            <w:r w:rsidR="00063311" w:rsidRPr="004E680F">
              <w:t xml:space="preserve">Lisa 1 pt </w:t>
            </w:r>
            <w:r w:rsidR="00CD22A0" w:rsidRPr="004E680F">
              <w:t>9.3.4)</w:t>
            </w:r>
            <w:r w:rsidR="004F2C25" w:rsidRPr="004E680F">
              <w:t xml:space="preserve">. </w:t>
            </w:r>
          </w:p>
        </w:tc>
      </w:tr>
      <w:tr w:rsidR="006C50D7" w:rsidRPr="004E680F" w14:paraId="44505F4D" w14:textId="77777777" w:rsidTr="004E680F">
        <w:tc>
          <w:tcPr>
            <w:tcW w:w="562" w:type="dxa"/>
          </w:tcPr>
          <w:p w14:paraId="63126B00" w14:textId="3529E3D9" w:rsidR="006C50D7" w:rsidRPr="004E680F" w:rsidRDefault="007D7594" w:rsidP="004E680F">
            <w:pPr>
              <w:pStyle w:val="Default"/>
              <w:spacing w:before="120" w:after="120"/>
              <w:jc w:val="both"/>
            </w:pPr>
            <w:r w:rsidRPr="004E680F">
              <w:lastRenderedPageBreak/>
              <w:t>7</w:t>
            </w:r>
          </w:p>
        </w:tc>
        <w:tc>
          <w:tcPr>
            <w:tcW w:w="1843" w:type="dxa"/>
          </w:tcPr>
          <w:p w14:paraId="549FDC21" w14:textId="091D366C" w:rsidR="006C50D7" w:rsidRPr="004E680F" w:rsidRDefault="006C50D7" w:rsidP="004E680F">
            <w:pPr>
              <w:pStyle w:val="Default"/>
              <w:spacing w:before="120" w:after="120"/>
              <w:jc w:val="both"/>
            </w:pPr>
            <w:r w:rsidRPr="004E680F">
              <w:t>RTK</w:t>
            </w:r>
          </w:p>
        </w:tc>
        <w:tc>
          <w:tcPr>
            <w:tcW w:w="5794" w:type="dxa"/>
          </w:tcPr>
          <w:p w14:paraId="13CCC4DE" w14:textId="3F16DAD2" w:rsidR="006C50D7" w:rsidRPr="004E680F" w:rsidRDefault="006C50D7" w:rsidP="004E680F">
            <w:pPr>
              <w:pStyle w:val="Default"/>
              <w:tabs>
                <w:tab w:val="left" w:pos="1530"/>
              </w:tabs>
              <w:spacing w:before="120" w:after="120"/>
              <w:jc w:val="both"/>
            </w:pPr>
            <w:r w:rsidRPr="004E680F">
              <w:t xml:space="preserve">Edastame ka kommentaarid lisas 3 toodud tingimustele projektide lõikes: palume lisada </w:t>
            </w:r>
            <w:r w:rsidRPr="003E1145">
              <w:t>ka TEM-TA 143</w:t>
            </w:r>
            <w:r w:rsidRPr="004E680F">
              <w:t xml:space="preserve"> projekti juurde viide, et uurimisprojektis peab uuritava ja optimeeritava energiaallikana kasutama vaid taastuvaid energiaallikaid, mitte fossiilset päritolu energiaallikaid.</w:t>
            </w:r>
          </w:p>
        </w:tc>
        <w:tc>
          <w:tcPr>
            <w:tcW w:w="5795" w:type="dxa"/>
          </w:tcPr>
          <w:p w14:paraId="27E81168" w14:textId="77777777" w:rsidR="00092C07" w:rsidRPr="004E680F" w:rsidRDefault="00092C07" w:rsidP="004E680F">
            <w:pPr>
              <w:pStyle w:val="Default"/>
              <w:spacing w:before="120" w:after="120"/>
              <w:jc w:val="both"/>
            </w:pPr>
            <w:r w:rsidRPr="004E680F">
              <w:rPr>
                <w:b/>
                <w:bCs/>
              </w:rPr>
              <w:t>Arvestatud</w:t>
            </w:r>
            <w:r w:rsidRPr="004E680F">
              <w:t xml:space="preserve">. </w:t>
            </w:r>
          </w:p>
          <w:p w14:paraId="31A93B30" w14:textId="4BAB2374" w:rsidR="006C50D7" w:rsidRPr="004E680F" w:rsidRDefault="00092C07" w:rsidP="004E680F">
            <w:pPr>
              <w:pStyle w:val="Default"/>
              <w:spacing w:before="120" w:after="120"/>
              <w:jc w:val="both"/>
            </w:pPr>
            <w:r w:rsidRPr="004E680F">
              <w:t xml:space="preserve">Lisatingimus </w:t>
            </w:r>
            <w:r w:rsidR="007B05E7">
              <w:t xml:space="preserve">on </w:t>
            </w:r>
            <w:r w:rsidRPr="004E680F">
              <w:t>lisatud.</w:t>
            </w:r>
          </w:p>
        </w:tc>
      </w:tr>
      <w:tr w:rsidR="006C50D7" w:rsidRPr="004E680F" w14:paraId="43B4DE8E" w14:textId="77777777" w:rsidTr="004E680F">
        <w:tc>
          <w:tcPr>
            <w:tcW w:w="562" w:type="dxa"/>
          </w:tcPr>
          <w:p w14:paraId="06E2E09C" w14:textId="4707F92B" w:rsidR="006C50D7" w:rsidRPr="004E680F" w:rsidRDefault="007D7594" w:rsidP="004E680F">
            <w:pPr>
              <w:pStyle w:val="Default"/>
              <w:spacing w:before="120" w:after="120"/>
              <w:jc w:val="both"/>
            </w:pPr>
            <w:r w:rsidRPr="004E680F">
              <w:t>8</w:t>
            </w:r>
          </w:p>
        </w:tc>
        <w:tc>
          <w:tcPr>
            <w:tcW w:w="1843" w:type="dxa"/>
          </w:tcPr>
          <w:p w14:paraId="48CF7F50" w14:textId="6BCAA032" w:rsidR="006C50D7" w:rsidRPr="004E680F" w:rsidRDefault="006C50D7" w:rsidP="004E680F">
            <w:pPr>
              <w:pStyle w:val="Default"/>
              <w:spacing w:before="120" w:after="120"/>
              <w:jc w:val="both"/>
            </w:pPr>
            <w:r w:rsidRPr="004E680F">
              <w:t>RTK</w:t>
            </w:r>
          </w:p>
        </w:tc>
        <w:tc>
          <w:tcPr>
            <w:tcW w:w="5794" w:type="dxa"/>
          </w:tcPr>
          <w:p w14:paraId="5B53F435" w14:textId="0CF09821" w:rsidR="006C50D7" w:rsidRPr="004E680F" w:rsidRDefault="006C50D7" w:rsidP="004E680F">
            <w:pPr>
              <w:pStyle w:val="Default"/>
              <w:tabs>
                <w:tab w:val="left" w:pos="1530"/>
              </w:tabs>
              <w:spacing w:before="120" w:after="120"/>
              <w:jc w:val="both"/>
            </w:pPr>
            <w:r w:rsidRPr="004E680F">
              <w:t xml:space="preserve">Lisas 3 on nimetatud partnerid ja projektis osalevad TA-asutused. Millist rolli täidavad veerus "Projektis osalevad TA-asutused" nimetatud asutused? Kui nad on ÜSS2021-2027 tähenduses elluviija, partner või lõppsaaja, siis tuleks riigiabi analüüsis käsitada ka neile antavat abi </w:t>
            </w:r>
            <w:r w:rsidRPr="004E680F">
              <w:lastRenderedPageBreak/>
              <w:t xml:space="preserve">riigiabireeglite aspektist. Ebaselgeks jääb riigiabi analüüsi järeldus, et riigiabi ei anta, sest toetavate tegevuste elluviimise üks oodatavatest tulemustest on ettevõtluskoostöö leping, mis viitab otsesõnu sellele, et ettevõtted peaksid olema uuringutesse kaasatud sisulisemalt kui seletuskiri kirjeldab. Paraku ei selgu eelnõust kes, millal ja millistel tingimustel peab sellise lepingu sõlmima. On vaid öeldud, et "...tegemist on lepinguga, mis on rahastatud kodu- või välismaiste äriühingute poolt, teostatud nimetatud äriühingute huvides ja mille puhul on üheselt tuvastatav, et osutatud teenus on seotud TA-tegevusega". </w:t>
            </w:r>
            <w:r w:rsidRPr="00C555E9">
              <w:t>Sellest tulenevalt teeme ettepaneku riigiabi analüüsi täiendada ja selgelt välja tuua äriühingute roll uuringute läbiviimisel ning kui selgub, et ettevõtjad saavad uuringutest otsest või kaudset abi, siis täiendada eelnõud riigiabi andmise alustega</w:t>
            </w:r>
            <w:r w:rsidR="00092C07" w:rsidRPr="00C555E9">
              <w:t>.</w:t>
            </w:r>
          </w:p>
        </w:tc>
        <w:tc>
          <w:tcPr>
            <w:tcW w:w="5795" w:type="dxa"/>
          </w:tcPr>
          <w:p w14:paraId="5EE1F3F5" w14:textId="38FF8D1F" w:rsidR="00C555E9" w:rsidRDefault="00AF08BC" w:rsidP="004E680F">
            <w:pPr>
              <w:pStyle w:val="Default"/>
              <w:spacing w:before="120" w:after="120"/>
              <w:jc w:val="both"/>
            </w:pPr>
            <w:r w:rsidRPr="00C555E9">
              <w:rPr>
                <w:b/>
                <w:bCs/>
              </w:rPr>
              <w:lastRenderedPageBreak/>
              <w:t>Arvestatud</w:t>
            </w:r>
            <w:r w:rsidRPr="00C555E9">
              <w:t>.</w:t>
            </w:r>
            <w:r w:rsidR="00C555E9" w:rsidRPr="004E680F">
              <w:t xml:space="preserve"> </w:t>
            </w:r>
          </w:p>
          <w:p w14:paraId="2BF3C07F" w14:textId="4DD83771" w:rsidR="006C50D7" w:rsidRPr="00C555E9" w:rsidRDefault="00C555E9" w:rsidP="004E680F">
            <w:pPr>
              <w:pStyle w:val="Default"/>
              <w:spacing w:before="120" w:after="120"/>
              <w:jc w:val="both"/>
            </w:pPr>
            <w:r>
              <w:t xml:space="preserve">Lisa 1 punkt 13 </w:t>
            </w:r>
            <w:r w:rsidR="007B05E7">
              <w:t xml:space="preserve">on </w:t>
            </w:r>
            <w:r>
              <w:t>lisatud (Riigiabi), s</w:t>
            </w:r>
            <w:r w:rsidRPr="004E680F">
              <w:t>eletuskirja riigiabi analüüs on täiendatud</w:t>
            </w:r>
            <w:r>
              <w:t>.</w:t>
            </w:r>
          </w:p>
          <w:p w14:paraId="1A083A34" w14:textId="7F7183FE" w:rsidR="000A001D" w:rsidRPr="004E680F" w:rsidRDefault="00BF03F2" w:rsidP="004E680F">
            <w:pPr>
              <w:pStyle w:val="Default"/>
              <w:spacing w:before="120" w:after="120"/>
              <w:jc w:val="both"/>
            </w:pPr>
            <w:r w:rsidRPr="004E680F">
              <w:lastRenderedPageBreak/>
              <w:t>Projektis osalevad TA-asutused</w:t>
            </w:r>
            <w:r w:rsidR="000A001D" w:rsidRPr="004E680F">
              <w:t xml:space="preserve"> on TAT mõistes partnerid</w:t>
            </w:r>
            <w:r w:rsidRPr="004E680F">
              <w:t>, kes viivad tegevuse 1 raames ellu uurimisprojekte</w:t>
            </w:r>
            <w:r w:rsidR="000A001D" w:rsidRPr="004E680F">
              <w:t>.</w:t>
            </w:r>
            <w:r w:rsidRPr="004E680F">
              <w:t xml:space="preserve"> Ka projektides osalevad eraõiguslikud juriidilised isikud (veerus „projektis osalevad TA asutused“) on evalveeritud TA asutused ning nendele kehtivad samad tingimused, mis avaliku sektori TA asutustele.</w:t>
            </w:r>
          </w:p>
          <w:p w14:paraId="5A1DE203" w14:textId="77777777" w:rsidR="00AF08BC" w:rsidRDefault="006A6CAB" w:rsidP="004E680F">
            <w:pPr>
              <w:pStyle w:val="Default"/>
              <w:spacing w:before="120" w:after="120"/>
              <w:jc w:val="both"/>
            </w:pPr>
            <w:r w:rsidRPr="004E680F">
              <w:t xml:space="preserve">Riigiabi analüüsis on </w:t>
            </w:r>
            <w:r w:rsidR="00BF03F2" w:rsidRPr="004E680F">
              <w:t>toodud</w:t>
            </w:r>
            <w:r w:rsidRPr="004E680F">
              <w:t xml:space="preserve"> (seletuskiri pt 2 alateema 1</w:t>
            </w:r>
            <w:r w:rsidR="00C555E9">
              <w:t>3</w:t>
            </w:r>
            <w:r w:rsidRPr="004E680F">
              <w:t>)</w:t>
            </w:r>
            <w:r w:rsidR="00B06122" w:rsidRPr="004E680F">
              <w:t>, et</w:t>
            </w:r>
            <w:r w:rsidRPr="004E680F">
              <w:t xml:space="preserve"> </w:t>
            </w:r>
            <w:r w:rsidR="000A001D" w:rsidRPr="004E680F">
              <w:t>t</w:t>
            </w:r>
            <w:r w:rsidRPr="004E680F">
              <w:t>egevuse 1 raames ei toetata üksikute ettevõtete või asutuste TA-</w:t>
            </w:r>
            <w:r w:rsidRPr="004E680F">
              <w:softHyphen/>
              <w:t>vajaduste lahendamist, vaid viiakse läbi sõltumatut TA-tegevust teadmiste suurendamiseks laiemalt ettevõtlusele huvipakkuvatel teemadel. Ettevõtet</w:t>
            </w:r>
            <w:r w:rsidR="00DC4552" w:rsidRPr="004E680F">
              <w:t>e</w:t>
            </w:r>
            <w:r w:rsidRPr="004E680F">
              <w:t xml:space="preserve"> roll on </w:t>
            </w:r>
            <w:r w:rsidR="00F11B2B" w:rsidRPr="004E680F">
              <w:t>sisendi andmine TA tegevuseks</w:t>
            </w:r>
            <w:r w:rsidR="00423E4E" w:rsidRPr="004E680F">
              <w:t xml:space="preserve">, kuid uuringuid ei viida läbi otseselt ettevõtete tellimusel. Teadustulemused on kasutatavad kõikidele antud teemast huvitatud ettevõtetele ja intellektuaalomand (kui see tekib) kuulub TA asutusele ja teadlasele. </w:t>
            </w:r>
          </w:p>
          <w:p w14:paraId="3ECC6E6B" w14:textId="17626DC7" w:rsidR="00C555E9" w:rsidRPr="004E680F" w:rsidRDefault="00C555E9" w:rsidP="004E680F">
            <w:pPr>
              <w:pStyle w:val="Default"/>
              <w:spacing w:before="120" w:after="120"/>
              <w:jc w:val="both"/>
            </w:pPr>
            <w:r>
              <w:t>Ü</w:t>
            </w:r>
            <w:r w:rsidRPr="00C555E9">
              <w:t>ldiselt ei anta toetust majandustegevusteks, kuid kuna tegevuse 1 raames seda otseselt välistada ei saa, võib tegemist olla teadus- ja arendustegevusele ning innovatsioonile antava riigiabiga ning sellele tuleb kohaldada Üldise grupierandi määruse §-s 25 sätestatut.</w:t>
            </w:r>
            <w:r>
              <w:t xml:space="preserve"> </w:t>
            </w:r>
            <w:r w:rsidRPr="00C555E9">
              <w:t>Tegevuse 2 raames toimuvad üritused ja jagatav info on avalik ja mõeldud kõigile huvilistele. Kuna tegevusel ei ole valikulist iseloomu, ei ole tegemist riigiabiga.</w:t>
            </w:r>
          </w:p>
        </w:tc>
      </w:tr>
      <w:tr w:rsidR="006C50D7" w:rsidRPr="004E680F" w14:paraId="1E3364E0" w14:textId="77777777" w:rsidTr="004E680F">
        <w:tc>
          <w:tcPr>
            <w:tcW w:w="562" w:type="dxa"/>
          </w:tcPr>
          <w:p w14:paraId="46F79369" w14:textId="5894CFB7" w:rsidR="006C50D7" w:rsidRPr="004E680F" w:rsidRDefault="007D7594" w:rsidP="004E680F">
            <w:pPr>
              <w:pStyle w:val="Default"/>
              <w:spacing w:before="120" w:after="120"/>
              <w:jc w:val="both"/>
            </w:pPr>
            <w:r w:rsidRPr="004E680F">
              <w:lastRenderedPageBreak/>
              <w:t>9</w:t>
            </w:r>
          </w:p>
        </w:tc>
        <w:tc>
          <w:tcPr>
            <w:tcW w:w="1843" w:type="dxa"/>
          </w:tcPr>
          <w:p w14:paraId="22DF0BE5" w14:textId="698F20AD" w:rsidR="006C50D7" w:rsidRPr="004E680F" w:rsidRDefault="006C50D7" w:rsidP="004E680F">
            <w:pPr>
              <w:pStyle w:val="Default"/>
              <w:spacing w:before="120" w:after="120"/>
              <w:jc w:val="both"/>
            </w:pPr>
            <w:r w:rsidRPr="004E680F">
              <w:t>RTK</w:t>
            </w:r>
          </w:p>
        </w:tc>
        <w:tc>
          <w:tcPr>
            <w:tcW w:w="5794" w:type="dxa"/>
          </w:tcPr>
          <w:p w14:paraId="61D8277B" w14:textId="663C09D1" w:rsidR="006C50D7" w:rsidRPr="004E680F" w:rsidRDefault="006C50D7" w:rsidP="004E680F">
            <w:pPr>
              <w:pStyle w:val="Default"/>
              <w:tabs>
                <w:tab w:val="left" w:pos="1530"/>
              </w:tabs>
              <w:spacing w:before="120" w:after="120"/>
              <w:jc w:val="both"/>
            </w:pPr>
            <w:r w:rsidRPr="004E680F">
              <w:t xml:space="preserve">Eelnõus on toodud, et käskkirja rakendatakse alates 1. jaanuarist 2024. On teada, et ETAG viis läbi ideekonkursi, mille tulemuste alusel on koostatud lisa 3 uurimisteemade nimekiri. Ideekonkursi raames kehtestas haridus- ja teadusminister teise käskkirjaga konkursitingimused juba 20.10.2023. Selle alusel tehti lisas 3 nimetatud uurimisteemade valik. Arvestades, et käesolev käskkiri </w:t>
            </w:r>
            <w:r w:rsidRPr="004E680F">
              <w:lastRenderedPageBreak/>
              <w:t xml:space="preserve">hakkab kehtima tagasiulatuvalt alates 1. jaanuarist 2024, siis palun </w:t>
            </w:r>
            <w:r w:rsidRPr="009B5B4A">
              <w:t>seletuskirjas selgitada kahe käskkirja omavahelist seost</w:t>
            </w:r>
            <w:r w:rsidR="00663D75" w:rsidRPr="009B5B4A">
              <w:t>.</w:t>
            </w:r>
          </w:p>
        </w:tc>
        <w:tc>
          <w:tcPr>
            <w:tcW w:w="5795" w:type="dxa"/>
          </w:tcPr>
          <w:p w14:paraId="6CB2B666" w14:textId="4CC2A88A" w:rsidR="00283AE2" w:rsidRPr="004E680F" w:rsidRDefault="009B5B4A" w:rsidP="004E680F">
            <w:pPr>
              <w:pStyle w:val="Default"/>
              <w:spacing w:before="120" w:after="120"/>
              <w:jc w:val="both"/>
            </w:pPr>
            <w:r w:rsidRPr="009B5B4A">
              <w:rPr>
                <w:b/>
                <w:bCs/>
              </w:rPr>
              <w:lastRenderedPageBreak/>
              <w:t>Arvestatud</w:t>
            </w:r>
            <w:r>
              <w:t>.</w:t>
            </w:r>
          </w:p>
          <w:p w14:paraId="3B1EBEC0" w14:textId="77777777" w:rsidR="009B5B4A" w:rsidRDefault="009B5B4A" w:rsidP="004E680F">
            <w:pPr>
              <w:pStyle w:val="Default"/>
              <w:spacing w:before="120" w:after="120"/>
              <w:jc w:val="both"/>
            </w:pPr>
            <w:r>
              <w:t>Seletuskirja on lisatud viide uurimisteemade konkursi läbiviimise tingimuste ja korra käskkirjale.</w:t>
            </w:r>
          </w:p>
          <w:p w14:paraId="3C6F8AFA" w14:textId="46F4B2BE" w:rsidR="00283AE2" w:rsidRPr="004E680F" w:rsidRDefault="00E95354" w:rsidP="00B66460">
            <w:pPr>
              <w:pStyle w:val="Default"/>
              <w:spacing w:before="120" w:after="120"/>
              <w:jc w:val="both"/>
            </w:pPr>
            <w:r w:rsidRPr="004E680F">
              <w:t>Seletuskirjas on uurimisteemade valikut selgitatud punktis 2 alateemas 4 (toetatavad tegevused, lk 7)</w:t>
            </w:r>
            <w:r w:rsidR="00B66460">
              <w:t xml:space="preserve">. </w:t>
            </w:r>
            <w:r w:rsidR="00C62FA8" w:rsidRPr="004E680F">
              <w:t>ETAG viis läbi uurimisteemade konkursi</w:t>
            </w:r>
            <w:r w:rsidR="004C10D4" w:rsidRPr="004E680F">
              <w:t xml:space="preserve"> vastavalt rakendusasutuse </w:t>
            </w:r>
            <w:r w:rsidR="004C10D4" w:rsidRPr="004E680F">
              <w:lastRenderedPageBreak/>
              <w:t>seatu</w:t>
            </w:r>
            <w:r w:rsidR="00BF03F2" w:rsidRPr="004E680F">
              <w:t>d</w:t>
            </w:r>
            <w:r w:rsidR="004C10D4" w:rsidRPr="004E680F">
              <w:t xml:space="preserve"> tingimustele ja korrale.</w:t>
            </w:r>
            <w:r w:rsidR="00C62FA8" w:rsidRPr="004E680F">
              <w:t xml:space="preserve"> </w:t>
            </w:r>
            <w:r w:rsidR="0090188A" w:rsidRPr="004E680F">
              <w:t>K</w:t>
            </w:r>
            <w:r w:rsidR="00C62FA8" w:rsidRPr="004E680F">
              <w:t>onkursi tulemused on</w:t>
            </w:r>
            <w:r w:rsidR="0090188A" w:rsidRPr="004E680F">
              <w:t xml:space="preserve"> kinnitatud rakendusasutuse käskkirjaga ning loetletud</w:t>
            </w:r>
            <w:r w:rsidR="00C62FA8" w:rsidRPr="004E680F">
              <w:t xml:space="preserve"> </w:t>
            </w:r>
            <w:r w:rsidR="0090188A" w:rsidRPr="004E680F">
              <w:t>L</w:t>
            </w:r>
            <w:r w:rsidR="00C62FA8" w:rsidRPr="004E680F">
              <w:t>isa</w:t>
            </w:r>
            <w:r w:rsidR="0090188A" w:rsidRPr="004E680F">
              <w:t>s</w:t>
            </w:r>
            <w:r w:rsidR="00C62FA8" w:rsidRPr="004E680F">
              <w:t xml:space="preserve"> 3</w:t>
            </w:r>
            <w:r w:rsidR="004C10D4" w:rsidRPr="004E680F">
              <w:t xml:space="preserve"> (tegevus 1)</w:t>
            </w:r>
            <w:r w:rsidR="00BF03F2" w:rsidRPr="004E680F">
              <w:t>.</w:t>
            </w:r>
          </w:p>
        </w:tc>
      </w:tr>
      <w:tr w:rsidR="006C50D7" w:rsidRPr="004E680F" w14:paraId="25C1828C" w14:textId="77777777" w:rsidTr="004E680F">
        <w:tc>
          <w:tcPr>
            <w:tcW w:w="562" w:type="dxa"/>
          </w:tcPr>
          <w:p w14:paraId="19BFD69B" w14:textId="51E42120" w:rsidR="006C50D7" w:rsidRPr="004E680F" w:rsidRDefault="006C50D7" w:rsidP="004E680F">
            <w:pPr>
              <w:pStyle w:val="Default"/>
              <w:spacing w:before="120" w:after="120"/>
              <w:jc w:val="both"/>
            </w:pPr>
            <w:r w:rsidRPr="004E680F">
              <w:lastRenderedPageBreak/>
              <w:t>1</w:t>
            </w:r>
            <w:r w:rsidR="007D7594" w:rsidRPr="004E680F">
              <w:t>0</w:t>
            </w:r>
          </w:p>
        </w:tc>
        <w:tc>
          <w:tcPr>
            <w:tcW w:w="1843" w:type="dxa"/>
          </w:tcPr>
          <w:p w14:paraId="6F98CAE1" w14:textId="77918BF5" w:rsidR="006C50D7" w:rsidRPr="004E680F" w:rsidRDefault="006C50D7" w:rsidP="004E680F">
            <w:pPr>
              <w:pStyle w:val="Default"/>
              <w:spacing w:before="120" w:after="120"/>
              <w:jc w:val="both"/>
            </w:pPr>
            <w:r w:rsidRPr="004E680F">
              <w:t>RTK</w:t>
            </w:r>
          </w:p>
        </w:tc>
        <w:tc>
          <w:tcPr>
            <w:tcW w:w="5794" w:type="dxa"/>
          </w:tcPr>
          <w:p w14:paraId="53ABFA05" w14:textId="3BC4944F" w:rsidR="006C50D7" w:rsidRPr="004E680F" w:rsidRDefault="006C50D7" w:rsidP="004E680F">
            <w:pPr>
              <w:pStyle w:val="Default"/>
              <w:tabs>
                <w:tab w:val="left" w:pos="1530"/>
              </w:tabs>
              <w:spacing w:before="120" w:after="120"/>
              <w:jc w:val="both"/>
            </w:pPr>
            <w:r w:rsidRPr="004E680F">
              <w:t xml:space="preserve">TemTA meede on kliimamärgistusega, s.t lähtuvalt meetmete nimekirjast on sekkumisvaldkonna koodiks 029 (Teadus- ja innovatsiooniprotsessid, tehnosiire ning ettevõtjate, teaduskeskuste ja ülikoolide vaheline koostöö, milles keskendutakse vähese CO2-heitega majanduse edendamisele ning kliimamuutustele vastupanuvõimele ja kliimamuutustega kohanemisele). Meetmete nimekirja järgi peaks otseselt kliimavaldkonda toetatavaid projekte rahastama summas 36,225 miljonit eurot. </w:t>
            </w:r>
            <w:r w:rsidRPr="00B66460">
              <w:t>Palun selgitada ja lisada seletuskirja viide sekkumiskoodile ja kliimamärgistusele ning avada kuidas tagatakse praeguse eelnõuga kliimapanusega arvestamine ning prognoositud suuruses kliimavaldkonna projektide rahastamine.</w:t>
            </w:r>
          </w:p>
        </w:tc>
        <w:tc>
          <w:tcPr>
            <w:tcW w:w="5795" w:type="dxa"/>
          </w:tcPr>
          <w:p w14:paraId="54A18DC4" w14:textId="77777777" w:rsidR="00B66460" w:rsidRDefault="002B1BE4" w:rsidP="004E680F">
            <w:pPr>
              <w:pStyle w:val="Default"/>
              <w:spacing w:before="120" w:after="120"/>
              <w:jc w:val="both"/>
            </w:pPr>
            <w:r w:rsidRPr="00B66460">
              <w:rPr>
                <w:b/>
                <w:bCs/>
              </w:rPr>
              <w:t>Arvestatud.</w:t>
            </w:r>
            <w:r w:rsidRPr="004E680F">
              <w:t xml:space="preserve"> </w:t>
            </w:r>
          </w:p>
          <w:p w14:paraId="25D2CD0F" w14:textId="0163B12E" w:rsidR="002B1BE4" w:rsidRPr="004E680F" w:rsidRDefault="002B1BE4" w:rsidP="004E680F">
            <w:pPr>
              <w:pStyle w:val="Default"/>
              <w:spacing w:before="120" w:after="120"/>
              <w:jc w:val="both"/>
            </w:pPr>
            <w:r w:rsidRPr="004E680F">
              <w:t xml:space="preserve">Seletuskirja punktis 4.4 </w:t>
            </w:r>
            <w:r w:rsidR="007B05E7">
              <w:t xml:space="preserve">on </w:t>
            </w:r>
            <w:r w:rsidRPr="004E680F">
              <w:t xml:space="preserve">lisatud viide sekkumiskoodile ning täpsustatud uurimisprojektide kliimapanust. </w:t>
            </w:r>
          </w:p>
          <w:p w14:paraId="49B513A3" w14:textId="3E1ECB41" w:rsidR="006C50D7" w:rsidRPr="004E680F" w:rsidRDefault="002B1BE4" w:rsidP="004E680F">
            <w:pPr>
              <w:pStyle w:val="Default"/>
              <w:spacing w:before="120" w:after="120"/>
              <w:jc w:val="both"/>
            </w:pPr>
            <w:r w:rsidRPr="004E680F">
              <w:t>Käskkirja l</w:t>
            </w:r>
            <w:r w:rsidR="009C0821" w:rsidRPr="004E680F">
              <w:t>isa 3</w:t>
            </w:r>
            <w:r w:rsidR="001948B5" w:rsidRPr="004E680F">
              <w:t xml:space="preserve"> kohaselt</w:t>
            </w:r>
            <w:r w:rsidR="009C0821" w:rsidRPr="004E680F">
              <w:t xml:space="preserve"> </w:t>
            </w:r>
            <w:r w:rsidRPr="004E680F">
              <w:t>panustavad sekkumisvaldkonda 029 järgmised uurimis</w:t>
            </w:r>
            <w:r w:rsidR="009C0821" w:rsidRPr="004E680F">
              <w:t>valdkonnad</w:t>
            </w:r>
            <w:r w:rsidRPr="004E680F">
              <w:t>:</w:t>
            </w:r>
            <w:r w:rsidR="009C0821" w:rsidRPr="004E680F">
              <w:t xml:space="preserve"> </w:t>
            </w:r>
            <w:r w:rsidR="001948B5" w:rsidRPr="004E680F">
              <w:t>n</w:t>
            </w:r>
            <w:r w:rsidRPr="004E680F">
              <w:t xml:space="preserve">utikad ja kestlikud </w:t>
            </w:r>
            <w:r w:rsidR="009C0821" w:rsidRPr="004E680F">
              <w:t>energia</w:t>
            </w:r>
            <w:r w:rsidRPr="004E680F">
              <w:t>lahendused</w:t>
            </w:r>
            <w:r w:rsidR="009C0821" w:rsidRPr="004E680F">
              <w:t xml:space="preserve">, </w:t>
            </w:r>
            <w:r w:rsidR="001948B5" w:rsidRPr="004E680F">
              <w:t>k</w:t>
            </w:r>
            <w:r w:rsidRPr="004E680F">
              <w:t xml:space="preserve">ohalike ressursside väärindamine: </w:t>
            </w:r>
            <w:r w:rsidR="009C0821" w:rsidRPr="004E680F">
              <w:t xml:space="preserve">puit, </w:t>
            </w:r>
            <w:r w:rsidRPr="004E680F">
              <w:t xml:space="preserve">teisene toore ja </w:t>
            </w:r>
            <w:r w:rsidR="009C0821" w:rsidRPr="004E680F">
              <w:t>jäätmed</w:t>
            </w:r>
            <w:r w:rsidRPr="004E680F">
              <w:t>, maapõueressursid</w:t>
            </w:r>
            <w:r w:rsidR="00283AE2" w:rsidRPr="004E680F">
              <w:t xml:space="preserve"> kogusummas 32 miljonit eurot, millest EL toetus (70%) on 22,4 miljoni eurot</w:t>
            </w:r>
            <w:r w:rsidR="00B66460">
              <w:t>.</w:t>
            </w:r>
          </w:p>
          <w:p w14:paraId="07A37B65" w14:textId="6550E213" w:rsidR="004C6260" w:rsidRPr="004E680F" w:rsidRDefault="001948B5" w:rsidP="004E680F">
            <w:pPr>
              <w:pStyle w:val="Default"/>
              <w:spacing w:before="120" w:after="120"/>
              <w:jc w:val="both"/>
            </w:pPr>
            <w:r w:rsidRPr="004E680F">
              <w:t xml:space="preserve">Lisas 3 toodud uurimisteemadele lisaks valib HTM täiendavalt samades valdkondades uurimisteemad, mida rahastatakse tegevuste elluviimise teises </w:t>
            </w:r>
            <w:r w:rsidR="0075104E">
              <w:t>etapis</w:t>
            </w:r>
            <w:r w:rsidR="008C65DC" w:rsidRPr="004E680F">
              <w:t xml:space="preserve"> (seletuskirja punkt 2 alapunkt 11).</w:t>
            </w:r>
          </w:p>
        </w:tc>
      </w:tr>
      <w:tr w:rsidR="006C50D7" w:rsidRPr="004E680F" w14:paraId="03C7C077" w14:textId="77777777" w:rsidTr="004E680F">
        <w:tc>
          <w:tcPr>
            <w:tcW w:w="562" w:type="dxa"/>
          </w:tcPr>
          <w:p w14:paraId="2FF43A02" w14:textId="4EF125AD" w:rsidR="006C50D7" w:rsidRPr="004E680F" w:rsidRDefault="007D7594" w:rsidP="004E680F">
            <w:pPr>
              <w:pStyle w:val="Default"/>
              <w:spacing w:before="120" w:after="120"/>
              <w:jc w:val="both"/>
            </w:pPr>
            <w:r w:rsidRPr="004E680F">
              <w:t>11</w:t>
            </w:r>
          </w:p>
        </w:tc>
        <w:tc>
          <w:tcPr>
            <w:tcW w:w="1843" w:type="dxa"/>
          </w:tcPr>
          <w:p w14:paraId="47623951" w14:textId="5F94A998" w:rsidR="006C50D7" w:rsidRPr="004E680F" w:rsidRDefault="006C50D7" w:rsidP="004E680F">
            <w:pPr>
              <w:pStyle w:val="Default"/>
              <w:spacing w:before="120" w:after="120"/>
              <w:jc w:val="both"/>
            </w:pPr>
            <w:r w:rsidRPr="004E680F">
              <w:t>RTK</w:t>
            </w:r>
          </w:p>
        </w:tc>
        <w:tc>
          <w:tcPr>
            <w:tcW w:w="5794" w:type="dxa"/>
          </w:tcPr>
          <w:p w14:paraId="7777C51B" w14:textId="77777777" w:rsidR="00D07C72" w:rsidRPr="004E680F" w:rsidRDefault="006C50D7" w:rsidP="004E680F">
            <w:pPr>
              <w:pStyle w:val="Default"/>
              <w:tabs>
                <w:tab w:val="left" w:pos="1530"/>
              </w:tabs>
              <w:spacing w:before="120" w:after="120"/>
              <w:jc w:val="both"/>
            </w:pPr>
            <w:r w:rsidRPr="004E680F">
              <w:t>Eelnõus p 4.4. toodud, et Tegevuse 1 raames antav toetus ei ole teadus- ja arendustegevusele suunatud riigiabi, kui teadus- ja arendusprojekt on seotud mittemajandustegevusega</w:t>
            </w:r>
            <w:r w:rsidRPr="00CE275D">
              <w:t>. Kas on selgeks tehtud konkreetsete projektide tulemuste võimalik kasutamine ettevõtjate poolt?</w:t>
            </w:r>
            <w:r w:rsidRPr="004E680F">
              <w:t xml:space="preserve"> Et projekt ei ole seotud majandustegevusega ei ole korrektne väita. Ja kui ilmneb, et projekti tulemus (teadusuuringute taristu) osaleb majandustegevuses, siis tuleb selle tulemuse osas majandustegevuses osalemise kohta arvestust pidada. Elluviija kohustuseks on tegevuste puhul kindlaks teha, kas tegemist on majandus- või mittemajandustegevusega. </w:t>
            </w:r>
          </w:p>
          <w:p w14:paraId="41E872E4" w14:textId="14896F19" w:rsidR="00B81848" w:rsidRPr="00CE275D" w:rsidRDefault="006C50D7" w:rsidP="004E680F">
            <w:pPr>
              <w:pStyle w:val="Default"/>
              <w:tabs>
                <w:tab w:val="left" w:pos="1530"/>
              </w:tabs>
              <w:spacing w:before="120" w:after="120"/>
              <w:jc w:val="both"/>
            </w:pPr>
            <w:r w:rsidRPr="004E680F">
              <w:lastRenderedPageBreak/>
              <w:t xml:space="preserve">Tegevuse 2 osas on seletuskirja lk 9 osas toodud: Tegevuses 2 (4.1.2.), et ettevõtjatele korraldatakse TA-tegevuse tutvustamist ning levitatakse uurimisprojektide tulemusi. </w:t>
            </w:r>
            <w:r w:rsidRPr="00CE275D">
              <w:t>Tegevuse 2 osas võib olla tegemist riigiabi andmisega</w:t>
            </w:r>
            <w:r w:rsidRPr="004E680F">
              <w:t xml:space="preserve">, tuleb hinnata, kas abi annab VKE-le eelise. Euroopa Liidu toimimise lepingu artikli 107 lõige 1, mille kohaselt on igasugune liikmesriigi poolt või riigi ressurssidest ükskõik missugusel kujul antav abi, mis kahjustab või ähvardab kahjustada konkurentsi, soodustades teatud ettevõtjaid või teatud kaupade tootmist, siseturuga kokku sobimatu niivõrd, kuivõrd see kahjustab liikmesriikide vahelist kaubandust. </w:t>
            </w:r>
            <w:r w:rsidRPr="00CE275D">
              <w:t xml:space="preserve">Uurimisprojektide tutvustustel osalevatele ettevõtjatele on tegemist riigiabi andmisega (kaudne riigiabi, saab anda VTA-na). </w:t>
            </w:r>
          </w:p>
          <w:p w14:paraId="1E3DA30F" w14:textId="0D8C659B" w:rsidR="006C50D7" w:rsidRPr="00CE275D" w:rsidRDefault="006C50D7" w:rsidP="004E680F">
            <w:pPr>
              <w:pStyle w:val="Default"/>
              <w:tabs>
                <w:tab w:val="left" w:pos="1530"/>
              </w:tabs>
              <w:spacing w:before="120" w:after="120"/>
              <w:jc w:val="both"/>
            </w:pPr>
            <w:r w:rsidRPr="00CE275D">
              <w:t>Palun täiendada käskkirja vähese tähtsusega abi/riigiabi osas, vastavalt sellele kumba abi antakse, sh elluviija kohustus RAR-i andmete kandmise osas</w:t>
            </w:r>
            <w:r w:rsidR="00B81848" w:rsidRPr="00CE275D">
              <w:t>.</w:t>
            </w:r>
          </w:p>
        </w:tc>
        <w:tc>
          <w:tcPr>
            <w:tcW w:w="5795" w:type="dxa"/>
          </w:tcPr>
          <w:p w14:paraId="5C0BB1CE" w14:textId="17DC0CC6" w:rsidR="001948B5" w:rsidRPr="00CE275D" w:rsidRDefault="001948B5" w:rsidP="004E680F">
            <w:pPr>
              <w:pStyle w:val="Default"/>
              <w:spacing w:before="120" w:after="120"/>
              <w:jc w:val="both"/>
              <w:rPr>
                <w:b/>
                <w:bCs/>
              </w:rPr>
            </w:pPr>
            <w:r w:rsidRPr="00CE275D">
              <w:rPr>
                <w:b/>
                <w:bCs/>
              </w:rPr>
              <w:lastRenderedPageBreak/>
              <w:t>Arvestatud.</w:t>
            </w:r>
          </w:p>
          <w:p w14:paraId="3E2F4AF9" w14:textId="70F22163" w:rsidR="00E92DD3" w:rsidRDefault="00CE275D" w:rsidP="00CE275D">
            <w:pPr>
              <w:pStyle w:val="Default"/>
              <w:spacing w:before="120" w:after="120"/>
              <w:jc w:val="both"/>
            </w:pPr>
            <w:r>
              <w:t xml:space="preserve">Lisa 1 punkt 13 </w:t>
            </w:r>
            <w:r w:rsidR="007B05E7">
              <w:t xml:space="preserve">on </w:t>
            </w:r>
            <w:r>
              <w:t>lisatud (Riigiabi), s</w:t>
            </w:r>
            <w:r w:rsidRPr="004E680F">
              <w:t>eletuskirja riigiabi analüüs</w:t>
            </w:r>
            <w:r w:rsidR="00F86311">
              <w:t>i</w:t>
            </w:r>
            <w:r w:rsidRPr="004E680F">
              <w:t xml:space="preserve"> on täiendatud</w:t>
            </w:r>
            <w:r>
              <w:t>.</w:t>
            </w:r>
          </w:p>
          <w:p w14:paraId="3DA526A1" w14:textId="170A3A78" w:rsidR="00CE275D" w:rsidRPr="004E680F" w:rsidRDefault="00CE275D" w:rsidP="00CE275D">
            <w:pPr>
              <w:pStyle w:val="Default"/>
              <w:spacing w:before="120" w:after="120"/>
              <w:jc w:val="both"/>
            </w:pPr>
            <w:r>
              <w:t>Ü</w:t>
            </w:r>
            <w:r w:rsidRPr="00C555E9">
              <w:t>ldiselt ei anta toetust majandustegevusteks, kuid kuna tegevuse 1 raames seda otseselt välistada ei saa, võib tegemist olla teadus- ja arendustegevusele ning innovatsioonile antava riigiabiga ning sellele tuleb kohaldada Üldise grupierandi määruse §-s 25 sätestatut.</w:t>
            </w:r>
            <w:r>
              <w:t xml:space="preserve"> </w:t>
            </w:r>
            <w:r w:rsidRPr="00C555E9">
              <w:t>Tegevuse 2 raames toimuvad üritused ja jagatav info on avalik ja mõeldud kõigile huvilistele. Kuna tegevusel ei ole valikulist iseloomu, ei ole tegemist riigiabiga.</w:t>
            </w:r>
          </w:p>
        </w:tc>
      </w:tr>
      <w:tr w:rsidR="006C50D7" w:rsidRPr="004E680F" w14:paraId="1B2B79AF" w14:textId="77777777" w:rsidTr="004E680F">
        <w:tc>
          <w:tcPr>
            <w:tcW w:w="562" w:type="dxa"/>
          </w:tcPr>
          <w:p w14:paraId="7F82674B" w14:textId="215397B8" w:rsidR="006C50D7" w:rsidRPr="004E680F" w:rsidRDefault="007D7594" w:rsidP="004E680F">
            <w:pPr>
              <w:pStyle w:val="Default"/>
              <w:spacing w:before="120" w:after="120"/>
              <w:jc w:val="both"/>
            </w:pPr>
            <w:r w:rsidRPr="004E680F">
              <w:t>12</w:t>
            </w:r>
          </w:p>
        </w:tc>
        <w:tc>
          <w:tcPr>
            <w:tcW w:w="1843" w:type="dxa"/>
          </w:tcPr>
          <w:p w14:paraId="48C199B0" w14:textId="2733EB61" w:rsidR="006C50D7" w:rsidRPr="004E680F" w:rsidRDefault="006C50D7" w:rsidP="004E680F">
            <w:pPr>
              <w:pStyle w:val="Default"/>
              <w:spacing w:before="120" w:after="120"/>
              <w:jc w:val="both"/>
            </w:pPr>
            <w:r w:rsidRPr="004E680F">
              <w:t>RTK</w:t>
            </w:r>
          </w:p>
        </w:tc>
        <w:tc>
          <w:tcPr>
            <w:tcW w:w="5794" w:type="dxa"/>
          </w:tcPr>
          <w:p w14:paraId="4631CF14" w14:textId="6587C41A" w:rsidR="006C50D7" w:rsidRPr="00BF01EE" w:rsidRDefault="006C50D7" w:rsidP="004E680F">
            <w:pPr>
              <w:pStyle w:val="Default"/>
              <w:tabs>
                <w:tab w:val="left" w:pos="1530"/>
              </w:tabs>
              <w:spacing w:before="120" w:after="120"/>
              <w:jc w:val="both"/>
            </w:pPr>
            <w:r w:rsidRPr="00BF01EE">
              <w:t>Eelnõu punktis 12.2.2.2. kaudsed kulud 15% otsestest personalikuludest. Palun täiendada punkti 11.2. Tegevuste eelarve jaotus alategevuste vahel (eurodes): otsese personalikulu summaga, millest oleks võimalik arvutada kaudset kulu 15%. Samas palun kontrollida ühendmääruse viidet.</w:t>
            </w:r>
          </w:p>
        </w:tc>
        <w:tc>
          <w:tcPr>
            <w:tcW w:w="5795" w:type="dxa"/>
          </w:tcPr>
          <w:p w14:paraId="5E47D4D8" w14:textId="77777777" w:rsidR="006C50D7" w:rsidRPr="00BF01EE" w:rsidRDefault="000C2922" w:rsidP="004E680F">
            <w:pPr>
              <w:pStyle w:val="Default"/>
              <w:spacing w:before="120" w:after="120"/>
              <w:jc w:val="both"/>
              <w:rPr>
                <w:b/>
                <w:bCs/>
              </w:rPr>
            </w:pPr>
            <w:r w:rsidRPr="00BF01EE">
              <w:rPr>
                <w:b/>
                <w:bCs/>
              </w:rPr>
              <w:t>Ei arvesta.</w:t>
            </w:r>
          </w:p>
          <w:p w14:paraId="162BF455" w14:textId="0C8AC1FD" w:rsidR="000C2922" w:rsidRPr="004E680F" w:rsidRDefault="000C2922" w:rsidP="004E680F">
            <w:pPr>
              <w:pStyle w:val="Default"/>
              <w:spacing w:before="120" w:after="120"/>
              <w:jc w:val="both"/>
            </w:pPr>
            <w:r w:rsidRPr="004E680F">
              <w:t>Eelarve on tegevuste lõikes eristatud punktis 11. Personalikulude eristus pole vajalik eelarve pildis, 15% ühtse määra arvutab süsteem automaatselt maksete sisestamisel kui viimane sisaldab otseseid personalikulusid.</w:t>
            </w:r>
          </w:p>
          <w:p w14:paraId="7FE1F972" w14:textId="77777777" w:rsidR="006C50D7" w:rsidRPr="004E680F" w:rsidRDefault="006C50D7" w:rsidP="004E680F">
            <w:pPr>
              <w:pStyle w:val="Default"/>
              <w:spacing w:before="120" w:after="120"/>
              <w:jc w:val="both"/>
            </w:pPr>
          </w:p>
        </w:tc>
      </w:tr>
      <w:tr w:rsidR="006C50D7" w:rsidRPr="004E680F" w14:paraId="36696990" w14:textId="77777777" w:rsidTr="004E680F">
        <w:tc>
          <w:tcPr>
            <w:tcW w:w="562" w:type="dxa"/>
          </w:tcPr>
          <w:p w14:paraId="27B7DBF0" w14:textId="4305F8C4" w:rsidR="006C50D7" w:rsidRPr="004E680F" w:rsidRDefault="007D7594" w:rsidP="004E680F">
            <w:pPr>
              <w:pStyle w:val="Default"/>
              <w:spacing w:before="120" w:after="120"/>
              <w:jc w:val="both"/>
            </w:pPr>
            <w:r w:rsidRPr="004E680F">
              <w:t>13</w:t>
            </w:r>
          </w:p>
        </w:tc>
        <w:tc>
          <w:tcPr>
            <w:tcW w:w="1843" w:type="dxa"/>
          </w:tcPr>
          <w:p w14:paraId="537D5071" w14:textId="28E13AC0" w:rsidR="006C50D7" w:rsidRPr="004E680F" w:rsidRDefault="006C50D7" w:rsidP="004E680F">
            <w:pPr>
              <w:pStyle w:val="Default"/>
              <w:spacing w:before="120" w:after="120"/>
              <w:jc w:val="both"/>
            </w:pPr>
            <w:r w:rsidRPr="004E680F">
              <w:t>RTK</w:t>
            </w:r>
          </w:p>
        </w:tc>
        <w:tc>
          <w:tcPr>
            <w:tcW w:w="5794" w:type="dxa"/>
          </w:tcPr>
          <w:p w14:paraId="69544E99" w14:textId="77777777" w:rsidR="00BF01EE" w:rsidRDefault="006C50D7" w:rsidP="004E680F">
            <w:pPr>
              <w:pStyle w:val="Default"/>
              <w:tabs>
                <w:tab w:val="left" w:pos="1530"/>
              </w:tabs>
              <w:spacing w:before="120" w:after="120"/>
              <w:jc w:val="both"/>
            </w:pPr>
            <w:r w:rsidRPr="004E680F">
              <w:t xml:space="preserve">Punktis 12.2.2.4 on nimetatud </w:t>
            </w:r>
            <w:r w:rsidRPr="003E1145">
              <w:t>teavitustegevused</w:t>
            </w:r>
            <w:r w:rsidRPr="004E680F">
              <w:t xml:space="preserve">. Seletuskirjas on märgitud, et RA on delegeerinud teavitustegevused elluviijale. Kui on mõeldud strateegiliselt oluliste tegevuste teavitustegevusi, siis </w:t>
            </w:r>
            <w:r w:rsidRPr="00BF01EE">
              <w:t xml:space="preserve">neid ei saa RA edasi delegeerida. </w:t>
            </w:r>
            <w:r w:rsidRPr="004E680F">
              <w:t xml:space="preserve">Need tegevused ei ole </w:t>
            </w:r>
            <w:r w:rsidRPr="004E680F">
              <w:lastRenderedPageBreak/>
              <w:t xml:space="preserve">abikõlblikud meetmest, vaid tehnilisest abist. Seetõttu palun p 12.2.2.4 käskkirjast välja jätta. </w:t>
            </w:r>
          </w:p>
          <w:p w14:paraId="0983D91E" w14:textId="5AE39EEA" w:rsidR="006C50D7" w:rsidRPr="004E680F" w:rsidRDefault="006C50D7" w:rsidP="004E680F">
            <w:pPr>
              <w:pStyle w:val="Default"/>
              <w:tabs>
                <w:tab w:val="left" w:pos="1530"/>
              </w:tabs>
              <w:spacing w:before="120" w:after="120"/>
              <w:jc w:val="both"/>
            </w:pPr>
            <w:r w:rsidRPr="00BF01EE">
              <w:t>Seletuskirjas palun eraldi selgitada, mida teeb ETAG kui elluviija teavitustegevustena ja mida teeb RA kui strateegiliste oluliste tegevuste eest vastutaja</w:t>
            </w:r>
            <w:r w:rsidRPr="004E680F">
              <w:t xml:space="preserve">. Samuti palun </w:t>
            </w:r>
            <w:r w:rsidRPr="00C35FD9">
              <w:t>konkreetselt välja tuua, millised tegevused käskkirjas on strateegiliselt olulised ÜSM artikli 2 punkti 5 tähenduses ja nimetatud rakenduskava lisas – käskkirja punktist 1.4 võib aru saada, et kõik käskkirja tegevused.</w:t>
            </w:r>
            <w:r w:rsidRPr="004E680F">
              <w:t xml:space="preserve"> Sama ettepanek teavitustegevuste kohta punktis 12.2.2.3 - kui ka seal on mõeldud strateegiliselt oluliste tegevustega seotud teavitustegevusi, siis need välja jätta.</w:t>
            </w:r>
          </w:p>
        </w:tc>
        <w:tc>
          <w:tcPr>
            <w:tcW w:w="5795" w:type="dxa"/>
          </w:tcPr>
          <w:p w14:paraId="40E7EEFD" w14:textId="77777777" w:rsidR="006C50D7" w:rsidRPr="004E680F" w:rsidRDefault="00DD24B5" w:rsidP="004E680F">
            <w:pPr>
              <w:pStyle w:val="Default"/>
              <w:spacing w:before="120" w:after="120"/>
              <w:jc w:val="both"/>
              <w:rPr>
                <w:b/>
                <w:bCs/>
              </w:rPr>
            </w:pPr>
            <w:r w:rsidRPr="004E680F">
              <w:rPr>
                <w:b/>
                <w:bCs/>
              </w:rPr>
              <w:lastRenderedPageBreak/>
              <w:t>Arvestatud osaliselt.</w:t>
            </w:r>
          </w:p>
          <w:p w14:paraId="5B0F7338" w14:textId="3736EE7C" w:rsidR="00DD24B5" w:rsidRPr="004E680F" w:rsidRDefault="00DD24B5" w:rsidP="004E680F">
            <w:pPr>
              <w:pStyle w:val="Pealkiri1"/>
              <w:shd w:val="clear" w:color="auto" w:fill="FFFFFF"/>
              <w:spacing w:before="120" w:beforeAutospacing="0" w:after="120" w:afterAutospacing="0"/>
              <w:jc w:val="both"/>
              <w:rPr>
                <w:b w:val="0"/>
                <w:bCs w:val="0"/>
                <w:sz w:val="24"/>
                <w:szCs w:val="24"/>
              </w:rPr>
            </w:pPr>
            <w:r w:rsidRPr="004E680F">
              <w:rPr>
                <w:rFonts w:eastAsiaTheme="minorHAnsi"/>
                <w:b w:val="0"/>
                <w:bCs w:val="0"/>
                <w:color w:val="000000"/>
                <w:kern w:val="0"/>
                <w:sz w:val="24"/>
                <w:szCs w:val="24"/>
                <w:lang w:eastAsia="en-US"/>
                <w14:ligatures w14:val="standardContextual"/>
              </w:rPr>
              <w:t>Strateegiliselt olulised teavitustegevused määruse „Perioodi 2021–2027 ühtekuuluvus- ja siseturvalisus</w:t>
            </w:r>
            <w:r w:rsidRPr="004E680F">
              <w:rPr>
                <w:rFonts w:eastAsiaTheme="minorHAnsi"/>
                <w:b w:val="0"/>
                <w:bCs w:val="0"/>
                <w:color w:val="000000"/>
                <w:kern w:val="0"/>
                <w:sz w:val="24"/>
                <w:szCs w:val="24"/>
                <w:lang w:eastAsia="en-US"/>
                <w14:ligatures w14:val="standardContextual"/>
              </w:rPr>
              <w:softHyphen/>
              <w:t xml:space="preserve">poliitika fondide vahendite andmisest avalikkuse teavitamine“ </w:t>
            </w:r>
            <w:r w:rsidRPr="004E680F">
              <w:rPr>
                <w:b w:val="0"/>
                <w:bCs w:val="0"/>
                <w:sz w:val="24"/>
                <w:szCs w:val="24"/>
              </w:rPr>
              <w:t xml:space="preserve">§2 mõttes viib läbi rakendusasutus koostöös </w:t>
            </w:r>
            <w:r w:rsidRPr="004E680F">
              <w:rPr>
                <w:b w:val="0"/>
                <w:bCs w:val="0"/>
                <w:sz w:val="24"/>
                <w:szCs w:val="24"/>
              </w:rPr>
              <w:lastRenderedPageBreak/>
              <w:t>elluviijaga. Seletuskirja on viidud sisse sellekohane täpsustus punkt 2 alateemas 9.</w:t>
            </w:r>
          </w:p>
          <w:p w14:paraId="222D141D" w14:textId="748B8561" w:rsidR="00DD24B5" w:rsidRPr="004E680F" w:rsidRDefault="007F4695" w:rsidP="004E680F">
            <w:pPr>
              <w:pStyle w:val="Default"/>
              <w:spacing w:before="120" w:after="120"/>
              <w:jc w:val="both"/>
            </w:pPr>
            <w:r w:rsidRPr="004E680F">
              <w:t>Punktides 12.2.2.3 ja 12.2.2.4 on elluviija kuludena käsitletud Tegevuse 2 raames läbiviidavad tegevused teadlaste, ettevõtjate ja teiste partnerite koostöö</w:t>
            </w:r>
            <w:r w:rsidR="006513EA" w:rsidRPr="004E680F">
              <w:softHyphen/>
            </w:r>
            <w:r w:rsidRPr="004E680F">
              <w:t>keskkonna edendamiseks,</w:t>
            </w:r>
            <w:r w:rsidR="00CD7018" w:rsidRPr="004E680F">
              <w:t xml:space="preserve"> sh teavitusüritused </w:t>
            </w:r>
            <w:r w:rsidR="00BF01EE" w:rsidRPr="007B209B">
              <w:t>kõikidele huvilistele</w:t>
            </w:r>
            <w:r w:rsidR="00BF01EE">
              <w:rPr>
                <w:b/>
                <w:bCs/>
              </w:rPr>
              <w:t xml:space="preserve"> </w:t>
            </w:r>
            <w:r w:rsidR="00CD7018" w:rsidRPr="004E680F">
              <w:t>TA-tegevuste tulemustest. S</w:t>
            </w:r>
            <w:r w:rsidRPr="004E680F">
              <w:t>eega on nimetatud kulud abikõlblikud.</w:t>
            </w:r>
          </w:p>
        </w:tc>
      </w:tr>
      <w:tr w:rsidR="006C50D7" w:rsidRPr="004E680F" w14:paraId="7761B67B" w14:textId="77777777" w:rsidTr="004E680F">
        <w:tc>
          <w:tcPr>
            <w:tcW w:w="562" w:type="dxa"/>
          </w:tcPr>
          <w:p w14:paraId="54B6F564" w14:textId="3181AC0B" w:rsidR="006C50D7" w:rsidRPr="004E680F" w:rsidRDefault="007D7594" w:rsidP="004E680F">
            <w:pPr>
              <w:pStyle w:val="Default"/>
              <w:spacing w:before="120" w:after="120"/>
              <w:jc w:val="both"/>
            </w:pPr>
            <w:r w:rsidRPr="004E680F">
              <w:lastRenderedPageBreak/>
              <w:t>14</w:t>
            </w:r>
          </w:p>
        </w:tc>
        <w:tc>
          <w:tcPr>
            <w:tcW w:w="1843" w:type="dxa"/>
          </w:tcPr>
          <w:p w14:paraId="09F0D0E0" w14:textId="1F32A440" w:rsidR="006C50D7" w:rsidRPr="004E680F" w:rsidRDefault="006C50D7" w:rsidP="004E680F">
            <w:pPr>
              <w:pStyle w:val="Default"/>
              <w:spacing w:before="120" w:after="120"/>
              <w:jc w:val="both"/>
            </w:pPr>
            <w:r w:rsidRPr="004E680F">
              <w:t>RTK</w:t>
            </w:r>
          </w:p>
        </w:tc>
        <w:tc>
          <w:tcPr>
            <w:tcW w:w="5794" w:type="dxa"/>
          </w:tcPr>
          <w:p w14:paraId="7689E927" w14:textId="53D8951B" w:rsidR="006C50D7" w:rsidRPr="004E680F" w:rsidRDefault="006C50D7" w:rsidP="004E680F">
            <w:pPr>
              <w:pStyle w:val="Default"/>
              <w:tabs>
                <w:tab w:val="left" w:pos="1530"/>
              </w:tabs>
              <w:spacing w:before="120" w:after="120"/>
              <w:jc w:val="both"/>
            </w:pPr>
            <w:r w:rsidRPr="004E680F">
              <w:t xml:space="preserve">Eelnõu punktis 12.4.2. on toodud, et </w:t>
            </w:r>
            <w:r w:rsidRPr="00BF01EE">
              <w:t xml:space="preserve">õppetööga seotud kulud, </w:t>
            </w:r>
            <w:r w:rsidRPr="004E680F">
              <w:t>sh õppekavade või õppemoodulite arendamise, õppejõudude töötasu ja koolitustegevusega kaasnevad kulud. Kuna seletuskirjas ei ole selgitatud millise koolitustegevuse kulud on abikõlbmatud, siis palun täiendada seletuskirja ja selgitada enam nimetatud punkti sisu (kas koolitustegevus on õppetöö läbiviimine (mitte täienduskoolituse ega muu tegevuses 2 läbi viidavate üritustega).</w:t>
            </w:r>
          </w:p>
        </w:tc>
        <w:tc>
          <w:tcPr>
            <w:tcW w:w="5795" w:type="dxa"/>
          </w:tcPr>
          <w:p w14:paraId="38E2A740" w14:textId="77777777" w:rsidR="0010123F" w:rsidRPr="00BF01EE" w:rsidRDefault="0010123F" w:rsidP="004E680F">
            <w:pPr>
              <w:pStyle w:val="Default"/>
              <w:spacing w:before="120" w:after="120"/>
              <w:jc w:val="both"/>
              <w:rPr>
                <w:b/>
                <w:bCs/>
              </w:rPr>
            </w:pPr>
            <w:r w:rsidRPr="00BF01EE">
              <w:rPr>
                <w:b/>
                <w:bCs/>
              </w:rPr>
              <w:t>Arvestatud.</w:t>
            </w:r>
          </w:p>
          <w:p w14:paraId="23C27DD2" w14:textId="742AB115" w:rsidR="0010123F" w:rsidRPr="004E680F" w:rsidRDefault="0010123F" w:rsidP="004E680F">
            <w:pPr>
              <w:pStyle w:val="Default"/>
              <w:spacing w:before="120" w:after="120"/>
              <w:jc w:val="both"/>
            </w:pPr>
            <w:r w:rsidRPr="004E680F">
              <w:t xml:space="preserve">Lisa 1 punkt 12.4.2 </w:t>
            </w:r>
            <w:r w:rsidR="007B05E7">
              <w:t xml:space="preserve">on </w:t>
            </w:r>
            <w:r w:rsidRPr="004E680F">
              <w:t>täpsustatud: „tasemeõppe ja ettevõtete täienduskoolitusega seotud kulud, …„</w:t>
            </w:r>
          </w:p>
        </w:tc>
      </w:tr>
      <w:tr w:rsidR="006C50D7" w:rsidRPr="004E680F" w14:paraId="607131FB" w14:textId="77777777" w:rsidTr="004E680F">
        <w:tc>
          <w:tcPr>
            <w:tcW w:w="562" w:type="dxa"/>
          </w:tcPr>
          <w:p w14:paraId="5BCAF160" w14:textId="53A6AA27" w:rsidR="006C50D7" w:rsidRPr="004E680F" w:rsidRDefault="007D7594" w:rsidP="004E680F">
            <w:pPr>
              <w:pStyle w:val="Default"/>
              <w:spacing w:before="120" w:after="120"/>
              <w:jc w:val="both"/>
            </w:pPr>
            <w:r w:rsidRPr="004E680F">
              <w:t>15</w:t>
            </w:r>
          </w:p>
        </w:tc>
        <w:tc>
          <w:tcPr>
            <w:tcW w:w="1843" w:type="dxa"/>
          </w:tcPr>
          <w:p w14:paraId="139AD4BB" w14:textId="11D366B0" w:rsidR="006C50D7" w:rsidRPr="004E680F" w:rsidRDefault="006C50D7" w:rsidP="004E680F">
            <w:pPr>
              <w:pStyle w:val="Default"/>
              <w:spacing w:before="120" w:after="120"/>
              <w:jc w:val="both"/>
            </w:pPr>
            <w:r w:rsidRPr="004E680F">
              <w:t>RTK</w:t>
            </w:r>
          </w:p>
        </w:tc>
        <w:tc>
          <w:tcPr>
            <w:tcW w:w="5794" w:type="dxa"/>
          </w:tcPr>
          <w:p w14:paraId="35DFD024" w14:textId="5BBD51FB" w:rsidR="006C50D7" w:rsidRPr="004E680F" w:rsidRDefault="006C50D7" w:rsidP="004E680F">
            <w:pPr>
              <w:pStyle w:val="Default"/>
              <w:tabs>
                <w:tab w:val="left" w:pos="1530"/>
              </w:tabs>
              <w:spacing w:before="120" w:after="120"/>
              <w:jc w:val="both"/>
            </w:pPr>
            <w:r w:rsidRPr="004E680F">
              <w:t xml:space="preserve">Eelnõu punktis 12.4.3. Abikõlbmatu on investeeringud Euroopa Parlamendi ja nõukogu määrus (EL) 2021/1058, 24. juuni 2021, mis käsitleb Euroopa Regionaalarengu Fondi ja Ühtekuuluvusfondi, </w:t>
            </w:r>
            <w:r w:rsidRPr="00BF01EE">
              <w:t>artiklis 7 nimetatud valdkondadesse. Lisada seletuskirja: kuidas on tagatud lisas 3 kajastatud uurimisteemade osas selle nõude täitmine projektide nimetamisel lisasse 3.</w:t>
            </w:r>
          </w:p>
        </w:tc>
        <w:tc>
          <w:tcPr>
            <w:tcW w:w="5795" w:type="dxa"/>
          </w:tcPr>
          <w:p w14:paraId="64DA6A5F" w14:textId="09693788" w:rsidR="002F2C7E" w:rsidRPr="004E680F" w:rsidRDefault="002F2C7E" w:rsidP="004E680F">
            <w:pPr>
              <w:spacing w:before="120" w:after="120"/>
              <w:jc w:val="both"/>
              <w:rPr>
                <w:rFonts w:ascii="Times New Roman" w:hAnsi="Times New Roman" w:cs="Times New Roman"/>
                <w:sz w:val="24"/>
                <w:szCs w:val="24"/>
              </w:rPr>
            </w:pPr>
            <w:r w:rsidRPr="00BF01EE">
              <w:rPr>
                <w:rFonts w:ascii="Times New Roman" w:hAnsi="Times New Roman" w:cs="Times New Roman"/>
                <w:b/>
                <w:bCs/>
                <w:sz w:val="24"/>
                <w:szCs w:val="24"/>
              </w:rPr>
              <w:t>Arvestatud</w:t>
            </w:r>
            <w:r w:rsidRPr="004E680F">
              <w:rPr>
                <w:rFonts w:ascii="Times New Roman" w:hAnsi="Times New Roman" w:cs="Times New Roman"/>
                <w:sz w:val="24"/>
                <w:szCs w:val="24"/>
              </w:rPr>
              <w:t xml:space="preserve">. </w:t>
            </w:r>
          </w:p>
          <w:p w14:paraId="3928D902" w14:textId="0910DBB5" w:rsidR="002F2C7E" w:rsidRPr="004E680F" w:rsidRDefault="002F2C7E" w:rsidP="004E680F">
            <w:pPr>
              <w:spacing w:before="120" w:after="120"/>
              <w:jc w:val="both"/>
              <w:rPr>
                <w:rFonts w:ascii="Times New Roman" w:hAnsi="Times New Roman" w:cs="Times New Roman"/>
                <w:sz w:val="24"/>
                <w:szCs w:val="24"/>
              </w:rPr>
            </w:pPr>
            <w:r w:rsidRPr="004E680F">
              <w:rPr>
                <w:rFonts w:ascii="Times New Roman" w:hAnsi="Times New Roman" w:cs="Times New Roman"/>
                <w:sz w:val="24"/>
                <w:szCs w:val="24"/>
              </w:rPr>
              <w:t>Täiendatud on Lisa 1 pt 9.3.4 ja 9.4.5, seletuskirja on täiendatud.</w:t>
            </w:r>
          </w:p>
          <w:p w14:paraId="6640D67C" w14:textId="2B8EF447" w:rsidR="00E353D2" w:rsidRPr="004E680F" w:rsidRDefault="002F2C7E" w:rsidP="00BF01EE">
            <w:pPr>
              <w:spacing w:before="120" w:after="120"/>
              <w:jc w:val="both"/>
              <w:rPr>
                <w:rFonts w:ascii="Times New Roman" w:hAnsi="Times New Roman" w:cs="Times New Roman"/>
                <w:sz w:val="24"/>
                <w:szCs w:val="24"/>
              </w:rPr>
            </w:pPr>
            <w:r w:rsidRPr="004E680F">
              <w:rPr>
                <w:rFonts w:ascii="Times New Roman" w:hAnsi="Times New Roman" w:cs="Times New Roman"/>
                <w:sz w:val="24"/>
                <w:szCs w:val="24"/>
              </w:rPr>
              <w:t xml:space="preserve">Tegevuse 1 läbiviimisel Lisas 3 kajastatud uurimisteemadel tagavad partnerid kulude abikõlblikkuse sh vastavuse Euroopa Parlamendi ja nõukogu määruse (EL) 2021/1058 (24. juuni 2021), artiklile 7. </w:t>
            </w:r>
            <w:r w:rsidR="00E353D2" w:rsidRPr="00BF01EE">
              <w:rPr>
                <w:rFonts w:ascii="Times New Roman" w:hAnsi="Times New Roman" w:cs="Times New Roman"/>
                <w:sz w:val="24"/>
                <w:szCs w:val="24"/>
              </w:rPr>
              <w:t xml:space="preserve">Elluviija </w:t>
            </w:r>
            <w:r w:rsidRPr="004E680F">
              <w:rPr>
                <w:rFonts w:ascii="Times New Roman" w:hAnsi="Times New Roman" w:cs="Times New Roman"/>
                <w:sz w:val="24"/>
                <w:szCs w:val="24"/>
              </w:rPr>
              <w:t xml:space="preserve">jälgib partnerite poolt uurimisprojektide ellu viimisel </w:t>
            </w:r>
            <w:bookmarkStart w:id="2" w:name="_Hlk165995726"/>
            <w:r w:rsidRPr="004E680F">
              <w:rPr>
                <w:rFonts w:ascii="Times New Roman" w:hAnsi="Times New Roman" w:cs="Times New Roman"/>
                <w:sz w:val="24"/>
                <w:szCs w:val="24"/>
              </w:rPr>
              <w:t xml:space="preserve">„ei </w:t>
            </w:r>
            <w:r w:rsidRPr="004E680F">
              <w:rPr>
                <w:rFonts w:ascii="Times New Roman" w:hAnsi="Times New Roman" w:cs="Times New Roman"/>
                <w:sz w:val="24"/>
                <w:szCs w:val="24"/>
              </w:rPr>
              <w:lastRenderedPageBreak/>
              <w:t>kahjusta oluliselt“ põhimõtete täitmist</w:t>
            </w:r>
            <w:bookmarkEnd w:id="2"/>
            <w:r w:rsidRPr="004E680F">
              <w:rPr>
                <w:rFonts w:ascii="Times New Roman" w:hAnsi="Times New Roman" w:cs="Times New Roman"/>
                <w:sz w:val="24"/>
                <w:szCs w:val="24"/>
              </w:rPr>
              <w:t>, mille kohaselt tuleb vältida kahju keskkonna</w:t>
            </w:r>
            <w:r w:rsidRPr="004E680F">
              <w:rPr>
                <w:rFonts w:ascii="Times New Roman" w:hAnsi="Times New Roman" w:cs="Times New Roman"/>
                <w:sz w:val="24"/>
                <w:szCs w:val="24"/>
              </w:rPr>
              <w:softHyphen/>
              <w:t>eesmärkide saavutamisele ja (EL) 2021/1058, 24. juuni 2021, artikkel 7 välistuste järgimist</w:t>
            </w:r>
            <w:r w:rsidR="00BF01EE">
              <w:rPr>
                <w:rFonts w:ascii="Times New Roman" w:hAnsi="Times New Roman" w:cs="Times New Roman"/>
                <w:sz w:val="24"/>
                <w:szCs w:val="24"/>
              </w:rPr>
              <w:t>.</w:t>
            </w:r>
          </w:p>
        </w:tc>
      </w:tr>
      <w:tr w:rsidR="006C50D7" w:rsidRPr="004E680F" w14:paraId="6C2C2606" w14:textId="77777777" w:rsidTr="004E680F">
        <w:tc>
          <w:tcPr>
            <w:tcW w:w="562" w:type="dxa"/>
          </w:tcPr>
          <w:p w14:paraId="4A13F2C9" w14:textId="5D761633" w:rsidR="006C50D7" w:rsidRPr="004E680F" w:rsidRDefault="007D7594" w:rsidP="004E680F">
            <w:pPr>
              <w:pStyle w:val="Default"/>
              <w:spacing w:before="120" w:after="120"/>
              <w:jc w:val="both"/>
            </w:pPr>
            <w:r w:rsidRPr="004E680F">
              <w:lastRenderedPageBreak/>
              <w:t>16</w:t>
            </w:r>
          </w:p>
        </w:tc>
        <w:tc>
          <w:tcPr>
            <w:tcW w:w="1843" w:type="dxa"/>
          </w:tcPr>
          <w:p w14:paraId="7A55ED58" w14:textId="127DF6E3" w:rsidR="006C50D7" w:rsidRPr="004E680F" w:rsidRDefault="006C50D7" w:rsidP="004E680F">
            <w:pPr>
              <w:pStyle w:val="Default"/>
              <w:spacing w:before="120" w:after="120"/>
              <w:jc w:val="both"/>
            </w:pPr>
            <w:r w:rsidRPr="004E680F">
              <w:t>RTK</w:t>
            </w:r>
          </w:p>
        </w:tc>
        <w:tc>
          <w:tcPr>
            <w:tcW w:w="5794" w:type="dxa"/>
          </w:tcPr>
          <w:p w14:paraId="4D7F517D" w14:textId="4CCDEC4E" w:rsidR="006C50D7" w:rsidRPr="004E680F" w:rsidRDefault="006C50D7" w:rsidP="004E680F">
            <w:pPr>
              <w:pStyle w:val="Default"/>
              <w:tabs>
                <w:tab w:val="left" w:pos="1530"/>
              </w:tabs>
              <w:spacing w:before="120" w:after="120"/>
              <w:jc w:val="both"/>
            </w:pPr>
            <w:r w:rsidRPr="003E1145">
              <w:t>Punktis 13 on reguleeritud nii makseid RÜ-lt elluviijale kui elluviijalt uurimisprojektidele (ehk siis lõppsaajatele). Palun neid selguse huvides hoida eelnõus ja seletuskirjas eraldi (praegu käivad punktid 13.1 ja 13.2 toetuse maksete kohta elluviijale, 13.3 ja 13.4 elluviijalt partneritele ja järgmised alapunktid taas RÜ-lt elluviijale). Käskkirjas on kohustuslik sätestada maksete tegemine elluviijale, toetuse maksmise elluviijalt lõppsaajatele (=partneritele) saab reguleerida partnerluslepingus ja ei ole kohustuslik reguleerida käskkirjas. Soovi korral võib käskkirjas reguleerida ka käskkirjas</w:t>
            </w:r>
            <w:r w:rsidRPr="004E680F">
              <w:t>.</w:t>
            </w:r>
          </w:p>
        </w:tc>
        <w:tc>
          <w:tcPr>
            <w:tcW w:w="5795" w:type="dxa"/>
          </w:tcPr>
          <w:p w14:paraId="4AED0411" w14:textId="77777777" w:rsidR="005A7E9E" w:rsidRPr="005A7E9E" w:rsidRDefault="005A7E9E" w:rsidP="004E680F">
            <w:pPr>
              <w:pStyle w:val="Default"/>
              <w:spacing w:before="120" w:after="120"/>
              <w:jc w:val="both"/>
              <w:rPr>
                <w:b/>
                <w:bCs/>
              </w:rPr>
            </w:pPr>
            <w:r w:rsidRPr="005A7E9E">
              <w:rPr>
                <w:b/>
                <w:bCs/>
              </w:rPr>
              <w:t xml:space="preserve">Ei arvesta. </w:t>
            </w:r>
          </w:p>
          <w:p w14:paraId="28660074" w14:textId="033F0C0D" w:rsidR="005A7E9E" w:rsidRPr="004E680F" w:rsidRDefault="005A7E9E" w:rsidP="004E680F">
            <w:pPr>
              <w:pStyle w:val="Default"/>
              <w:spacing w:before="120" w:after="120"/>
              <w:jc w:val="both"/>
            </w:pPr>
            <w:r>
              <w:t>HTM hinnangul on sõnastus õigusselge ja ei vaja täpsustamist.</w:t>
            </w:r>
          </w:p>
        </w:tc>
      </w:tr>
      <w:tr w:rsidR="006C50D7" w:rsidRPr="004E680F" w14:paraId="0D058637" w14:textId="77777777" w:rsidTr="004E680F">
        <w:tc>
          <w:tcPr>
            <w:tcW w:w="562" w:type="dxa"/>
          </w:tcPr>
          <w:p w14:paraId="4F86980C" w14:textId="08F760E3" w:rsidR="006C50D7" w:rsidRPr="004E680F" w:rsidRDefault="007D7594" w:rsidP="004E680F">
            <w:pPr>
              <w:pStyle w:val="Default"/>
              <w:spacing w:before="120" w:after="120"/>
              <w:jc w:val="both"/>
            </w:pPr>
            <w:r w:rsidRPr="004E680F">
              <w:t>17</w:t>
            </w:r>
          </w:p>
        </w:tc>
        <w:tc>
          <w:tcPr>
            <w:tcW w:w="1843" w:type="dxa"/>
          </w:tcPr>
          <w:p w14:paraId="7983F439" w14:textId="04DF7310" w:rsidR="006C50D7" w:rsidRPr="004E680F" w:rsidRDefault="006C50D7" w:rsidP="004E680F">
            <w:pPr>
              <w:pStyle w:val="Default"/>
              <w:spacing w:before="120" w:after="120"/>
              <w:jc w:val="both"/>
            </w:pPr>
            <w:r w:rsidRPr="004E680F">
              <w:t>RTK</w:t>
            </w:r>
          </w:p>
        </w:tc>
        <w:tc>
          <w:tcPr>
            <w:tcW w:w="5794" w:type="dxa"/>
          </w:tcPr>
          <w:p w14:paraId="563D362D" w14:textId="2B337AE3" w:rsidR="006C50D7" w:rsidRPr="004E680F" w:rsidRDefault="006C50D7" w:rsidP="004E680F">
            <w:pPr>
              <w:pStyle w:val="Default"/>
              <w:tabs>
                <w:tab w:val="left" w:pos="1530"/>
              </w:tabs>
              <w:spacing w:before="120" w:after="120"/>
              <w:jc w:val="both"/>
            </w:pPr>
            <w:r w:rsidRPr="004E680F">
              <w:t xml:space="preserve">Eelnõu punktis </w:t>
            </w:r>
            <w:r w:rsidRPr="003E1145">
              <w:t>14.3. Ekspertkomisjonide ülesandeks käesoleva tegevuse raames on „14.3.1. teha ettepanek elluviijale heaks kiita või tagasi lükata ETIS-esse sisestatud uurimisprojektid.“. Palun eelnõu seletuskirjas selgitada, kas ekspertkomisjon heaks kiitmisel hindab sisestatud projektide vastavust eelnõu p 12.4.3 toodud keeldu mitte investeerida Euroopa Parlamendi ja nõukogu määruse (EL) 2021/1058, artiklis 7 nimetatud valdkondadesse.</w:t>
            </w:r>
          </w:p>
        </w:tc>
        <w:tc>
          <w:tcPr>
            <w:tcW w:w="5795" w:type="dxa"/>
          </w:tcPr>
          <w:p w14:paraId="7BFAB841" w14:textId="77777777" w:rsidR="006C50D7" w:rsidRDefault="00DF5F73" w:rsidP="004E680F">
            <w:pPr>
              <w:pStyle w:val="Default"/>
              <w:spacing w:before="120" w:after="120"/>
              <w:jc w:val="both"/>
            </w:pPr>
            <w:r w:rsidRPr="00072C84">
              <w:rPr>
                <w:b/>
                <w:bCs/>
              </w:rPr>
              <w:t>Arvestatud</w:t>
            </w:r>
            <w:r>
              <w:t xml:space="preserve">. </w:t>
            </w:r>
          </w:p>
          <w:p w14:paraId="60E15D8C" w14:textId="6DCF8006" w:rsidR="00DF5F73" w:rsidRDefault="00DF5F73" w:rsidP="004E680F">
            <w:pPr>
              <w:pStyle w:val="Default"/>
              <w:spacing w:before="120" w:after="120"/>
              <w:jc w:val="both"/>
            </w:pPr>
            <w:r>
              <w:t xml:space="preserve">Seletuskiri </w:t>
            </w:r>
            <w:r w:rsidR="007B05E7">
              <w:t xml:space="preserve">on </w:t>
            </w:r>
            <w:r>
              <w:t>täiendatud.</w:t>
            </w:r>
          </w:p>
          <w:p w14:paraId="6BB9BA46" w14:textId="691E4BAA" w:rsidR="00072C84" w:rsidRDefault="00072C84" w:rsidP="00EA7FD8">
            <w:pPr>
              <w:pStyle w:val="Default"/>
              <w:tabs>
                <w:tab w:val="left" w:pos="1530"/>
              </w:tabs>
              <w:spacing w:before="120" w:after="120"/>
              <w:jc w:val="both"/>
            </w:pPr>
            <w:r w:rsidRPr="008E4D11">
              <w:t>Elluviija jälgib partnerite poolt uurimisprojektide ellu viimisel „ei kahjusta oluliselt“ põhimõtte täitmist, mille kohaselt tuleb vältida kahju keskkonna</w:t>
            </w:r>
            <w:r w:rsidRPr="008E4D11">
              <w:softHyphen/>
              <w:t>eesmärkide saavutamisele</w:t>
            </w:r>
            <w:r>
              <w:t xml:space="preserve"> ja </w:t>
            </w:r>
            <w:r w:rsidRPr="004A4FA7">
              <w:t>Euroopa Parlamendi ja nõukogu määruses (EL) 2021/1058, 24. juuni 2021, mis käsitleb Euroopa Regionaalarengu Fondi ja Ühtekuuluvusfondi, artiklis 7</w:t>
            </w:r>
            <w:r>
              <w:t xml:space="preserve"> toodud välistuste järgimist.</w:t>
            </w:r>
          </w:p>
          <w:p w14:paraId="055445C7" w14:textId="4FDE5C3C" w:rsidR="00DF5F73" w:rsidRPr="004E680F" w:rsidRDefault="00E839A6" w:rsidP="00165F61">
            <w:pPr>
              <w:pStyle w:val="Default"/>
              <w:tabs>
                <w:tab w:val="left" w:pos="1530"/>
              </w:tabs>
              <w:spacing w:before="120" w:after="120"/>
              <w:jc w:val="both"/>
            </w:pPr>
            <w:r w:rsidRPr="008E4D11">
              <w:t>Temaatilise TA programmi ekspertkomisjonid nõustavad elluviijat, sh Tegevuse 1 kavandamist ja seiret, lähtudes tegevuse eesmärgist.</w:t>
            </w:r>
            <w:r w:rsidR="00EA7FD8" w:rsidRPr="008E4D11">
              <w:t xml:space="preserve"> Ekspertkomisjonid kooskõlastavad uurimisprojektid toetuse andmiseks ja teevad ettepanekuid </w:t>
            </w:r>
            <w:r w:rsidR="00EA7FD8" w:rsidRPr="008E4D11">
              <w:lastRenderedPageBreak/>
              <w:t>uurimisprojektide ning tegevuste vahearuannete tulemuste ja lõpparuande heakskiitmiseks elluviijale.</w:t>
            </w:r>
          </w:p>
        </w:tc>
      </w:tr>
      <w:tr w:rsidR="008E3112" w:rsidRPr="004E680F" w14:paraId="52CF3426" w14:textId="77777777" w:rsidTr="004E680F">
        <w:tc>
          <w:tcPr>
            <w:tcW w:w="562" w:type="dxa"/>
          </w:tcPr>
          <w:p w14:paraId="143E7B95" w14:textId="6E9FFF6A" w:rsidR="008E3112" w:rsidRPr="004E680F" w:rsidRDefault="007D7594" w:rsidP="004E680F">
            <w:pPr>
              <w:pStyle w:val="Default"/>
              <w:spacing w:before="120" w:after="120"/>
              <w:jc w:val="both"/>
            </w:pPr>
            <w:r w:rsidRPr="004E680F">
              <w:lastRenderedPageBreak/>
              <w:t>18</w:t>
            </w:r>
          </w:p>
        </w:tc>
        <w:tc>
          <w:tcPr>
            <w:tcW w:w="1843" w:type="dxa"/>
          </w:tcPr>
          <w:p w14:paraId="3C17C823" w14:textId="67A6816A" w:rsidR="008E3112" w:rsidRPr="004E680F" w:rsidRDefault="008E3112" w:rsidP="004E680F">
            <w:pPr>
              <w:pStyle w:val="Default"/>
              <w:spacing w:before="120" w:after="120"/>
              <w:jc w:val="both"/>
            </w:pPr>
            <w:r w:rsidRPr="004E680F">
              <w:t>RTK</w:t>
            </w:r>
          </w:p>
        </w:tc>
        <w:tc>
          <w:tcPr>
            <w:tcW w:w="5794" w:type="dxa"/>
          </w:tcPr>
          <w:p w14:paraId="7765CBB7" w14:textId="397FB2AC" w:rsidR="008E3112" w:rsidRPr="004E680F" w:rsidRDefault="008E3112" w:rsidP="004E680F">
            <w:pPr>
              <w:pStyle w:val="Default"/>
              <w:tabs>
                <w:tab w:val="left" w:pos="1530"/>
              </w:tabs>
              <w:spacing w:before="120" w:after="120"/>
              <w:jc w:val="both"/>
            </w:pPr>
            <w:r w:rsidRPr="004E680F">
              <w:t>Seletuskiri punkti 4 tabelis taotleja real 3. veerus viide lisa 2 peatükile 3 ei ole õige. Lisa 2 on ühikuhindade lisa.</w:t>
            </w:r>
          </w:p>
        </w:tc>
        <w:tc>
          <w:tcPr>
            <w:tcW w:w="5795" w:type="dxa"/>
          </w:tcPr>
          <w:p w14:paraId="711406E9" w14:textId="77777777" w:rsidR="008E3112" w:rsidRPr="004E680F" w:rsidRDefault="0010147B" w:rsidP="004E680F">
            <w:pPr>
              <w:pStyle w:val="Default"/>
              <w:spacing w:before="120" w:after="120"/>
              <w:jc w:val="both"/>
            </w:pPr>
            <w:r w:rsidRPr="004E680F">
              <w:rPr>
                <w:b/>
                <w:bCs/>
              </w:rPr>
              <w:t>Arvestatud</w:t>
            </w:r>
            <w:r w:rsidRPr="004E680F">
              <w:t>.</w:t>
            </w:r>
          </w:p>
          <w:p w14:paraId="174525FE" w14:textId="57DD0715" w:rsidR="0010147B" w:rsidRPr="004E680F" w:rsidRDefault="0010147B" w:rsidP="004E680F">
            <w:pPr>
              <w:pStyle w:val="Default"/>
              <w:spacing w:before="120" w:after="120"/>
              <w:jc w:val="both"/>
            </w:pPr>
            <w:r w:rsidRPr="004E680F">
              <w:t xml:space="preserve">Viide </w:t>
            </w:r>
            <w:r w:rsidR="007B05E7">
              <w:t xml:space="preserve">on </w:t>
            </w:r>
            <w:r w:rsidRPr="004E680F">
              <w:t>korrigeeritud.</w:t>
            </w:r>
          </w:p>
        </w:tc>
      </w:tr>
      <w:tr w:rsidR="008E3112" w:rsidRPr="004E680F" w14:paraId="3F3CA196" w14:textId="77777777" w:rsidTr="004E680F">
        <w:tc>
          <w:tcPr>
            <w:tcW w:w="562" w:type="dxa"/>
          </w:tcPr>
          <w:p w14:paraId="66762DA1" w14:textId="28589C91" w:rsidR="008E3112" w:rsidRPr="004E680F" w:rsidRDefault="007D7594" w:rsidP="004E680F">
            <w:pPr>
              <w:pStyle w:val="Default"/>
              <w:spacing w:before="120" w:after="120"/>
              <w:jc w:val="both"/>
            </w:pPr>
            <w:r w:rsidRPr="004E680F">
              <w:t>19</w:t>
            </w:r>
          </w:p>
        </w:tc>
        <w:tc>
          <w:tcPr>
            <w:tcW w:w="1843" w:type="dxa"/>
          </w:tcPr>
          <w:p w14:paraId="5EC16CF4" w14:textId="543E0B1C" w:rsidR="008E3112" w:rsidRPr="004E680F" w:rsidRDefault="008E3112" w:rsidP="004E680F">
            <w:pPr>
              <w:pStyle w:val="Default"/>
              <w:spacing w:before="120" w:after="120"/>
              <w:jc w:val="both"/>
            </w:pPr>
            <w:r w:rsidRPr="004E680F">
              <w:t>RTK</w:t>
            </w:r>
          </w:p>
        </w:tc>
        <w:tc>
          <w:tcPr>
            <w:tcW w:w="5794" w:type="dxa"/>
          </w:tcPr>
          <w:p w14:paraId="3D7DA2F5" w14:textId="2516FF7F" w:rsidR="008E3112" w:rsidRPr="004E680F" w:rsidRDefault="008E3112" w:rsidP="004E680F">
            <w:pPr>
              <w:pStyle w:val="Default"/>
              <w:tabs>
                <w:tab w:val="left" w:pos="1530"/>
              </w:tabs>
              <w:spacing w:before="120" w:after="120"/>
              <w:jc w:val="both"/>
            </w:pPr>
            <w:r w:rsidRPr="004E680F">
              <w:t>Seletuskiri punktis 5 "TAT spetsiifiline näitaja „Uurimisprojekti jooksul immatrikuleeritud doktorant- nooremteadurid, kes on seotud toetatavate uurimisprojektidega“ on läbivalt viidatud käskkirja lisa 2 punktidele 7, 8 ja 9 (mis kirjeldab ühikuhindu). Palun lisada viide õigele lisale ja korrektsetele punktidele.</w:t>
            </w:r>
          </w:p>
        </w:tc>
        <w:tc>
          <w:tcPr>
            <w:tcW w:w="5795" w:type="dxa"/>
          </w:tcPr>
          <w:p w14:paraId="496C6AA5" w14:textId="77777777" w:rsidR="008E3112" w:rsidRPr="004E680F" w:rsidRDefault="00CA7454" w:rsidP="004E680F">
            <w:pPr>
              <w:pStyle w:val="Default"/>
              <w:spacing w:before="120" w:after="120"/>
              <w:jc w:val="both"/>
            </w:pPr>
            <w:r w:rsidRPr="004E680F">
              <w:rPr>
                <w:b/>
                <w:bCs/>
              </w:rPr>
              <w:t>Arvestatud</w:t>
            </w:r>
            <w:r w:rsidRPr="004E680F">
              <w:t>.</w:t>
            </w:r>
          </w:p>
          <w:p w14:paraId="17E17470" w14:textId="767C7A62" w:rsidR="00CA7454" w:rsidRPr="004E680F" w:rsidRDefault="00FC4729" w:rsidP="004E680F">
            <w:pPr>
              <w:pStyle w:val="Default"/>
              <w:spacing w:before="120" w:after="120"/>
              <w:jc w:val="both"/>
            </w:pPr>
            <w:r w:rsidRPr="004E680F">
              <w:t xml:space="preserve">Viited </w:t>
            </w:r>
            <w:r w:rsidR="007B05E7">
              <w:t xml:space="preserve">on </w:t>
            </w:r>
            <w:r w:rsidRPr="004E680F">
              <w:t>korrigeeritud.</w:t>
            </w:r>
          </w:p>
        </w:tc>
      </w:tr>
      <w:tr w:rsidR="008E3112" w:rsidRPr="004E680F" w14:paraId="4D57F884" w14:textId="77777777" w:rsidTr="004E680F">
        <w:tc>
          <w:tcPr>
            <w:tcW w:w="562" w:type="dxa"/>
          </w:tcPr>
          <w:p w14:paraId="661B5F14" w14:textId="100BB751" w:rsidR="008E3112" w:rsidRPr="004E680F" w:rsidRDefault="008E3112" w:rsidP="004E680F">
            <w:pPr>
              <w:pStyle w:val="Default"/>
              <w:spacing w:before="120" w:after="120"/>
              <w:jc w:val="both"/>
            </w:pPr>
            <w:r w:rsidRPr="004E680F">
              <w:t>2</w:t>
            </w:r>
            <w:r w:rsidR="007D7594" w:rsidRPr="004E680F">
              <w:t>0</w:t>
            </w:r>
          </w:p>
        </w:tc>
        <w:tc>
          <w:tcPr>
            <w:tcW w:w="1843" w:type="dxa"/>
          </w:tcPr>
          <w:p w14:paraId="431B76DB" w14:textId="7BE5FAD7" w:rsidR="008E3112" w:rsidRPr="004E680F" w:rsidRDefault="008E3112" w:rsidP="004E680F">
            <w:pPr>
              <w:pStyle w:val="Default"/>
              <w:spacing w:before="120" w:after="120"/>
              <w:jc w:val="both"/>
            </w:pPr>
            <w:r w:rsidRPr="004E680F">
              <w:t>RTK</w:t>
            </w:r>
          </w:p>
        </w:tc>
        <w:tc>
          <w:tcPr>
            <w:tcW w:w="5794" w:type="dxa"/>
          </w:tcPr>
          <w:p w14:paraId="0FAB7B50" w14:textId="2ED8FA0F" w:rsidR="008E3112" w:rsidRPr="004E680F" w:rsidRDefault="008E3112" w:rsidP="004E680F">
            <w:pPr>
              <w:pStyle w:val="Default"/>
              <w:tabs>
                <w:tab w:val="left" w:pos="1530"/>
              </w:tabs>
              <w:spacing w:before="120" w:after="120"/>
              <w:jc w:val="both"/>
            </w:pPr>
            <w:r w:rsidRPr="004E680F">
              <w:t>Seletuskiri punkti 9 teine lõik "Lisaks ühendmääruses sätestatule on elluviija kohustatud viima ellu käskkirja lisa punktis 4.1.2." Täiendada teksti „ …käskkirja lisa 1 punktis....“</w:t>
            </w:r>
          </w:p>
        </w:tc>
        <w:tc>
          <w:tcPr>
            <w:tcW w:w="5795" w:type="dxa"/>
          </w:tcPr>
          <w:p w14:paraId="472DA184" w14:textId="77777777" w:rsidR="008E3112" w:rsidRPr="004E680F" w:rsidRDefault="00A11574" w:rsidP="004E680F">
            <w:pPr>
              <w:pStyle w:val="Default"/>
              <w:spacing w:before="120" w:after="120"/>
              <w:jc w:val="both"/>
            </w:pPr>
            <w:r w:rsidRPr="004E680F">
              <w:rPr>
                <w:b/>
                <w:bCs/>
              </w:rPr>
              <w:t>Arvestatud</w:t>
            </w:r>
            <w:r w:rsidRPr="004E680F">
              <w:t>.</w:t>
            </w:r>
          </w:p>
          <w:p w14:paraId="40A6780A" w14:textId="76B2F773" w:rsidR="00A11574" w:rsidRPr="004E680F" w:rsidRDefault="00A11574" w:rsidP="004E680F">
            <w:pPr>
              <w:pStyle w:val="Default"/>
              <w:spacing w:before="120" w:after="120"/>
              <w:jc w:val="both"/>
            </w:pPr>
            <w:r w:rsidRPr="004E680F">
              <w:t>Korrigeeritud.</w:t>
            </w:r>
          </w:p>
        </w:tc>
      </w:tr>
      <w:tr w:rsidR="008E3112" w:rsidRPr="004E680F" w14:paraId="155FDF69" w14:textId="77777777" w:rsidTr="004E680F">
        <w:tc>
          <w:tcPr>
            <w:tcW w:w="562" w:type="dxa"/>
          </w:tcPr>
          <w:p w14:paraId="71F49DC7" w14:textId="6C04F4FC" w:rsidR="008E3112" w:rsidRPr="004E680F" w:rsidRDefault="007D7594" w:rsidP="004E680F">
            <w:pPr>
              <w:pStyle w:val="Default"/>
              <w:spacing w:before="120" w:after="120"/>
              <w:jc w:val="both"/>
            </w:pPr>
            <w:r w:rsidRPr="004E680F">
              <w:t>21</w:t>
            </w:r>
          </w:p>
        </w:tc>
        <w:tc>
          <w:tcPr>
            <w:tcW w:w="1843" w:type="dxa"/>
          </w:tcPr>
          <w:p w14:paraId="5055CF22" w14:textId="7E440BDE" w:rsidR="008E3112" w:rsidRPr="004E680F" w:rsidRDefault="008E3112" w:rsidP="004E680F">
            <w:pPr>
              <w:pStyle w:val="Default"/>
              <w:spacing w:before="120" w:after="120"/>
              <w:jc w:val="both"/>
            </w:pPr>
            <w:r w:rsidRPr="004E680F">
              <w:t>RTK</w:t>
            </w:r>
          </w:p>
        </w:tc>
        <w:tc>
          <w:tcPr>
            <w:tcW w:w="5794" w:type="dxa"/>
          </w:tcPr>
          <w:p w14:paraId="06F81E4D" w14:textId="6E9B5AF8" w:rsidR="008E3112" w:rsidRPr="004E680F" w:rsidRDefault="008E3112" w:rsidP="004E680F">
            <w:pPr>
              <w:pStyle w:val="Default"/>
              <w:tabs>
                <w:tab w:val="left" w:pos="1530"/>
              </w:tabs>
              <w:spacing w:before="120" w:after="120"/>
              <w:jc w:val="both"/>
            </w:pPr>
            <w:r w:rsidRPr="004E680F">
              <w:t>Juhime tähelepanu, et seletuskirjas viidatud komisjoni teatis Teadus- ja arendustegevuseks ning innovatsiooniks antava riigiabi raamistik (2014/C 198/01) on asendatud uue redaktsiooniga - (</w:t>
            </w:r>
            <w:bookmarkStart w:id="3" w:name="_Hlk165918798"/>
            <w:r w:rsidRPr="004E680F">
              <w:t>2022/C 414/01</w:t>
            </w:r>
            <w:bookmarkEnd w:id="3"/>
            <w:r w:rsidRPr="004E680F">
              <w:t>).</w:t>
            </w:r>
          </w:p>
        </w:tc>
        <w:tc>
          <w:tcPr>
            <w:tcW w:w="5795" w:type="dxa"/>
          </w:tcPr>
          <w:p w14:paraId="644CDC64" w14:textId="77777777" w:rsidR="00A11574" w:rsidRPr="004E680F" w:rsidRDefault="00A11574" w:rsidP="004E680F">
            <w:pPr>
              <w:pStyle w:val="Default"/>
              <w:spacing w:before="120" w:after="120"/>
              <w:jc w:val="both"/>
            </w:pPr>
            <w:r w:rsidRPr="004E680F">
              <w:rPr>
                <w:b/>
                <w:bCs/>
              </w:rPr>
              <w:t>Arvestatud</w:t>
            </w:r>
            <w:r w:rsidRPr="004E680F">
              <w:t>.</w:t>
            </w:r>
          </w:p>
          <w:p w14:paraId="77AF265E" w14:textId="73AFD618" w:rsidR="008E3112" w:rsidRPr="004E680F" w:rsidRDefault="00A11574" w:rsidP="004E680F">
            <w:pPr>
              <w:pStyle w:val="Default"/>
              <w:spacing w:before="120" w:after="120"/>
              <w:jc w:val="both"/>
            </w:pPr>
            <w:r w:rsidRPr="004E680F">
              <w:t>Korrigeeritud.</w:t>
            </w:r>
          </w:p>
        </w:tc>
      </w:tr>
      <w:tr w:rsidR="008E3112" w:rsidRPr="004E680F" w14:paraId="22293775" w14:textId="77777777" w:rsidTr="004E680F">
        <w:tc>
          <w:tcPr>
            <w:tcW w:w="562" w:type="dxa"/>
          </w:tcPr>
          <w:p w14:paraId="74860B77" w14:textId="158F9F31" w:rsidR="008E3112" w:rsidRPr="004E680F" w:rsidRDefault="007D7594" w:rsidP="004E680F">
            <w:pPr>
              <w:pStyle w:val="Default"/>
              <w:spacing w:before="120" w:after="120"/>
              <w:jc w:val="both"/>
            </w:pPr>
            <w:r w:rsidRPr="004E680F">
              <w:t>22</w:t>
            </w:r>
          </w:p>
        </w:tc>
        <w:tc>
          <w:tcPr>
            <w:tcW w:w="1843" w:type="dxa"/>
          </w:tcPr>
          <w:p w14:paraId="5572C419" w14:textId="6CABDA99" w:rsidR="008E3112" w:rsidRPr="004E680F" w:rsidRDefault="008E3112" w:rsidP="004E680F">
            <w:pPr>
              <w:pStyle w:val="Default"/>
              <w:spacing w:before="120" w:after="120"/>
              <w:jc w:val="both"/>
            </w:pPr>
            <w:r w:rsidRPr="004E680F">
              <w:t>RTK</w:t>
            </w:r>
          </w:p>
        </w:tc>
        <w:tc>
          <w:tcPr>
            <w:tcW w:w="5794" w:type="dxa"/>
          </w:tcPr>
          <w:p w14:paraId="2ED9D444" w14:textId="54F460EF" w:rsidR="008E3112" w:rsidRPr="004E680F" w:rsidRDefault="008E3112" w:rsidP="004E680F">
            <w:pPr>
              <w:pStyle w:val="Default"/>
              <w:tabs>
                <w:tab w:val="left" w:pos="1530"/>
              </w:tabs>
              <w:spacing w:before="120" w:after="120"/>
              <w:jc w:val="both"/>
            </w:pPr>
            <w:r w:rsidRPr="004E680F">
              <w:t xml:space="preserve">Punktis 12.2.2.3 </w:t>
            </w:r>
            <w:r w:rsidRPr="00335A48">
              <w:t>seirega</w:t>
            </w:r>
            <w:r w:rsidRPr="004E680F">
              <w:t xml:space="preserve"> seotud vajalikud kulud - palun seletuskirjas täpsemalt selgitada, mida on mõeldud.</w:t>
            </w:r>
          </w:p>
        </w:tc>
        <w:tc>
          <w:tcPr>
            <w:tcW w:w="5795" w:type="dxa"/>
          </w:tcPr>
          <w:p w14:paraId="730EFFE0" w14:textId="77777777" w:rsidR="008E3112" w:rsidRPr="00335A48" w:rsidRDefault="00131570" w:rsidP="004E680F">
            <w:pPr>
              <w:pStyle w:val="Default"/>
              <w:spacing w:before="120" w:after="120"/>
              <w:jc w:val="both"/>
              <w:rPr>
                <w:b/>
                <w:bCs/>
              </w:rPr>
            </w:pPr>
            <w:r w:rsidRPr="00335A48">
              <w:rPr>
                <w:b/>
                <w:bCs/>
              </w:rPr>
              <w:t>Arvestatud.</w:t>
            </w:r>
          </w:p>
          <w:p w14:paraId="75B0FEBB" w14:textId="75B6CC14" w:rsidR="00131570" w:rsidRPr="004E680F" w:rsidRDefault="00131570" w:rsidP="004E680F">
            <w:pPr>
              <w:pStyle w:val="Default"/>
              <w:spacing w:before="120" w:after="120"/>
              <w:jc w:val="both"/>
            </w:pPr>
            <w:r w:rsidRPr="004E680F">
              <w:t xml:space="preserve">Seletuskiri </w:t>
            </w:r>
            <w:r w:rsidR="008E4F88">
              <w:t xml:space="preserve">on </w:t>
            </w:r>
            <w:r w:rsidRPr="004E680F">
              <w:t>täiendatud.</w:t>
            </w:r>
            <w:r w:rsidR="00335A48">
              <w:t xml:space="preserve"> </w:t>
            </w:r>
          </w:p>
        </w:tc>
      </w:tr>
      <w:tr w:rsidR="008E3112" w:rsidRPr="004E680F" w14:paraId="0C9017E8" w14:textId="77777777" w:rsidTr="004E680F">
        <w:tc>
          <w:tcPr>
            <w:tcW w:w="562" w:type="dxa"/>
          </w:tcPr>
          <w:p w14:paraId="5CA6E57F" w14:textId="60500188" w:rsidR="008E3112" w:rsidRPr="004E680F" w:rsidRDefault="007D7594" w:rsidP="004E680F">
            <w:pPr>
              <w:pStyle w:val="Default"/>
              <w:spacing w:before="120" w:after="120"/>
              <w:jc w:val="both"/>
            </w:pPr>
            <w:r w:rsidRPr="004E680F">
              <w:t>23</w:t>
            </w:r>
          </w:p>
        </w:tc>
        <w:tc>
          <w:tcPr>
            <w:tcW w:w="1843" w:type="dxa"/>
          </w:tcPr>
          <w:p w14:paraId="09BF23C3" w14:textId="776E963B" w:rsidR="008E3112" w:rsidRPr="004E680F" w:rsidRDefault="008E3112" w:rsidP="004E680F">
            <w:pPr>
              <w:pStyle w:val="Default"/>
              <w:spacing w:before="120" w:after="120"/>
              <w:jc w:val="both"/>
            </w:pPr>
            <w:r w:rsidRPr="004E680F">
              <w:t>RTK</w:t>
            </w:r>
          </w:p>
        </w:tc>
        <w:tc>
          <w:tcPr>
            <w:tcW w:w="5794" w:type="dxa"/>
          </w:tcPr>
          <w:p w14:paraId="04CBB587" w14:textId="44B62784" w:rsidR="008E3112" w:rsidRPr="004E680F" w:rsidRDefault="008E3112" w:rsidP="004E680F">
            <w:pPr>
              <w:pStyle w:val="Default"/>
              <w:tabs>
                <w:tab w:val="left" w:pos="1530"/>
              </w:tabs>
              <w:spacing w:before="120" w:after="120"/>
              <w:jc w:val="both"/>
            </w:pPr>
            <w:r w:rsidRPr="004E680F">
              <w:t>Palun seletuskirjas EL õiguse juures nimetada konkreetsed õigusaktid, sh Euroopa Parlamendi ja nõukogu määrus (EL) 2021/1058, mis käsitleb Euroopa Regionaalarengu Fondi ja Ühtekuuluvusfondi.</w:t>
            </w:r>
          </w:p>
        </w:tc>
        <w:tc>
          <w:tcPr>
            <w:tcW w:w="5795" w:type="dxa"/>
          </w:tcPr>
          <w:p w14:paraId="2925DAE4" w14:textId="77777777" w:rsidR="008E3112" w:rsidRPr="00C14892" w:rsidRDefault="005A7E9E" w:rsidP="004E680F">
            <w:pPr>
              <w:pStyle w:val="Default"/>
              <w:spacing w:before="120" w:after="120"/>
              <w:jc w:val="both"/>
              <w:rPr>
                <w:b/>
                <w:bCs/>
              </w:rPr>
            </w:pPr>
            <w:r w:rsidRPr="00C14892">
              <w:rPr>
                <w:b/>
                <w:bCs/>
              </w:rPr>
              <w:t>Arvestatud.</w:t>
            </w:r>
          </w:p>
          <w:p w14:paraId="15FFACAD" w14:textId="4768C56B" w:rsidR="005A7E9E" w:rsidRPr="004E680F" w:rsidRDefault="005A7E9E" w:rsidP="004E680F">
            <w:pPr>
              <w:pStyle w:val="Default"/>
              <w:spacing w:before="120" w:after="120"/>
              <w:jc w:val="both"/>
            </w:pPr>
            <w:r>
              <w:t>Sele</w:t>
            </w:r>
            <w:r w:rsidR="00C14892">
              <w:t>tuskiri on täiendatud.</w:t>
            </w:r>
          </w:p>
        </w:tc>
      </w:tr>
      <w:tr w:rsidR="008E3112" w:rsidRPr="004E680F" w14:paraId="0DED3AE2" w14:textId="77777777" w:rsidTr="004E680F">
        <w:tc>
          <w:tcPr>
            <w:tcW w:w="562" w:type="dxa"/>
          </w:tcPr>
          <w:p w14:paraId="18FC39A5" w14:textId="2886966B" w:rsidR="008E3112" w:rsidRPr="004E680F" w:rsidRDefault="007D7594" w:rsidP="004E680F">
            <w:pPr>
              <w:pStyle w:val="Default"/>
              <w:spacing w:before="120" w:after="120"/>
              <w:jc w:val="both"/>
            </w:pPr>
            <w:r w:rsidRPr="004E680F">
              <w:lastRenderedPageBreak/>
              <w:t>24</w:t>
            </w:r>
          </w:p>
        </w:tc>
        <w:tc>
          <w:tcPr>
            <w:tcW w:w="1843" w:type="dxa"/>
          </w:tcPr>
          <w:p w14:paraId="1F3C3261" w14:textId="0164E4A9" w:rsidR="008E3112" w:rsidRPr="004E680F" w:rsidRDefault="008E3112" w:rsidP="004E680F">
            <w:pPr>
              <w:pStyle w:val="Default"/>
              <w:spacing w:before="120" w:after="120"/>
              <w:jc w:val="both"/>
            </w:pPr>
            <w:r w:rsidRPr="004E680F">
              <w:t>RTK</w:t>
            </w:r>
          </w:p>
        </w:tc>
        <w:tc>
          <w:tcPr>
            <w:tcW w:w="5794" w:type="dxa"/>
          </w:tcPr>
          <w:p w14:paraId="636578FF" w14:textId="3CD0C4FE" w:rsidR="008E3112" w:rsidRPr="004E680F" w:rsidRDefault="008E3112" w:rsidP="004E680F">
            <w:pPr>
              <w:pStyle w:val="Default"/>
              <w:tabs>
                <w:tab w:val="left" w:pos="1530"/>
              </w:tabs>
              <w:spacing w:before="120" w:after="120"/>
              <w:jc w:val="both"/>
            </w:pPr>
            <w:r w:rsidRPr="004E680F">
              <w:t xml:space="preserve">Eelnõu Lisa 3 on toodud toetuse kogusumma. Palun täpsustada kas see sisaldab nii EL toetust kui ka RKF-i. Eelnõu punktis 11.2 on toodud tegevuse 1 eelarveks kokku 97 950 000 eurot (sh EL toetus 68 565 000 eurot, RKF 14 594 550, OF 14 790 450 eurot). </w:t>
            </w:r>
            <w:r w:rsidRPr="00335A48">
              <w:t>Palun ka käskkirjas kajastada, et Lisa 3 sisaldab 1.ettepanekute vooru projekte ja nende toetuse mahtu,</w:t>
            </w:r>
            <w:r w:rsidRPr="004E680F">
              <w:t xml:space="preserve"> kuna seletuskirjas on toodud, et "Tegevus 1 eelarve puhul on arvestatud kahe uurimisteemade ettepanekute esitamise läbiviimisega, millest esimeses voorus rahastatakse uurimisprojekte suurusjärgus 55%". Kuna p 2.17 mõistetes uurimisteema all on toodud Lisa 3, siis tekib küsimus, kui hiljem </w:t>
            </w:r>
            <w:r w:rsidRPr="00335A48">
              <w:t>muudetakse käskkirja ja lisatakse 2.ettepanekute esitamise vooru projektid, siis kas need lisatakse olemasolevasse Lisasse 3 või tuleb käskkirja muudatusele uus lisa. Kui tuleb uus lisa, siis palun vaadake üle punktid, mis sisaldavad viidet Lisale 3 ja vajadusel muutke. Kui Lisas 3 toetuse summad valdkondade kaupa kokku võtta, siis on toetus kokku 55 529 490 eurot. Kui Lisas toodud toetuse summa sisaldab nii EL toetust kui ka RKF, siis on 1.ettepanekute vooru maht tegevuse 1 EL toetuse ja RKF osast 67%. Palun vajadusel täpsustage mida tähendab seletuskirjas "uurimisprojekte suurusjärgus" või on eeldatud, et ETIS-esse lisatavad taotlused on väiksemas mahus kui Lisas 3 toodud toetus.</w:t>
            </w:r>
          </w:p>
        </w:tc>
        <w:tc>
          <w:tcPr>
            <w:tcW w:w="5795" w:type="dxa"/>
          </w:tcPr>
          <w:p w14:paraId="0256CAE3" w14:textId="5622D5AD" w:rsidR="00EC561C" w:rsidRPr="004E680F" w:rsidRDefault="00EC561C" w:rsidP="004E680F">
            <w:pPr>
              <w:pStyle w:val="Default"/>
              <w:spacing w:before="120" w:after="120"/>
              <w:jc w:val="both"/>
              <w:rPr>
                <w:b/>
                <w:bCs/>
              </w:rPr>
            </w:pPr>
            <w:r w:rsidRPr="004E680F">
              <w:rPr>
                <w:b/>
                <w:bCs/>
              </w:rPr>
              <w:t>Arvestatud osaliselt.</w:t>
            </w:r>
          </w:p>
          <w:p w14:paraId="0546C87E" w14:textId="1B897C35" w:rsidR="00A63FC2" w:rsidRPr="004E680F" w:rsidRDefault="005D7FED" w:rsidP="004E680F">
            <w:pPr>
              <w:pStyle w:val="Default"/>
              <w:spacing w:before="120" w:after="120"/>
              <w:jc w:val="both"/>
            </w:pPr>
            <w:r w:rsidRPr="004E680F">
              <w:t xml:space="preserve">Lisa 3 tabeli päis </w:t>
            </w:r>
            <w:r w:rsidR="007B05E7">
              <w:t xml:space="preserve">on </w:t>
            </w:r>
            <w:r w:rsidRPr="004E680F">
              <w:t>korrigeeritud – „Toetuse kogusumma“ asendatud „uurimisprojekti kogueelarve“</w:t>
            </w:r>
            <w:r w:rsidR="007B27CA" w:rsidRPr="004E680F">
              <w:t>.</w:t>
            </w:r>
            <w:r w:rsidR="00335A48">
              <w:t xml:space="preserve"> Lisatud Lisa 1 pt 4.8.</w:t>
            </w:r>
          </w:p>
          <w:p w14:paraId="7D90162B" w14:textId="47D6074C" w:rsidR="007B27CA" w:rsidRPr="004E680F" w:rsidRDefault="00A63FC2" w:rsidP="004E680F">
            <w:pPr>
              <w:pStyle w:val="Default"/>
              <w:spacing w:before="120" w:after="120"/>
              <w:jc w:val="both"/>
            </w:pPr>
            <w:r w:rsidRPr="004E680F">
              <w:t>Teise vooru tulemus</w:t>
            </w:r>
            <w:r w:rsidR="00437A3C" w:rsidRPr="004E680F">
              <w:t>ed lisatakse käskkirja Lisasse 3</w:t>
            </w:r>
            <w:r w:rsidR="00CE2AE5" w:rsidRPr="004E680F">
              <w:t xml:space="preserve"> peale teise vooru uurimisteemade konkursi tulemuste kinnitamist.</w:t>
            </w:r>
          </w:p>
          <w:p w14:paraId="4B1E9002" w14:textId="693DDE5B" w:rsidR="00CE2AE5" w:rsidRPr="004E680F" w:rsidRDefault="00437A3C" w:rsidP="004E680F">
            <w:pPr>
              <w:pStyle w:val="Default"/>
              <w:spacing w:before="120" w:after="120"/>
              <w:jc w:val="both"/>
            </w:pPr>
            <w:r w:rsidRPr="004E680F">
              <w:t xml:space="preserve">Lisas toodud summad sisaldavad nii EL toetust, riiklikku kaasfinantseerimist ja omafinantseeringut. Seega </w:t>
            </w:r>
            <w:r w:rsidR="00B9199C" w:rsidRPr="004E680F">
              <w:t xml:space="preserve">on tegevuse 1 kogueelarve </w:t>
            </w:r>
            <w:r w:rsidR="00CE2AE5" w:rsidRPr="004E680F">
              <w:t xml:space="preserve">esimeses voorus  suurusjärgus 57% ja teises voorus suurusjärgus 43% (ümardatud </w:t>
            </w:r>
            <w:r w:rsidR="00335A48">
              <w:t>osakaalud</w:t>
            </w:r>
            <w:r w:rsidR="00CE2AE5" w:rsidRPr="004E680F">
              <w:t>).</w:t>
            </w:r>
          </w:p>
          <w:p w14:paraId="46DFAC99" w14:textId="52CAE58B" w:rsidR="00437A3C" w:rsidRPr="004E680F" w:rsidRDefault="00437A3C" w:rsidP="004E680F">
            <w:pPr>
              <w:pStyle w:val="Default"/>
              <w:spacing w:before="120" w:after="120"/>
              <w:jc w:val="both"/>
            </w:pPr>
          </w:p>
        </w:tc>
      </w:tr>
      <w:tr w:rsidR="005D437C" w:rsidRPr="004E680F" w14:paraId="530258A7" w14:textId="77777777" w:rsidTr="004E680F">
        <w:tc>
          <w:tcPr>
            <w:tcW w:w="562" w:type="dxa"/>
          </w:tcPr>
          <w:p w14:paraId="7D829C1F" w14:textId="2FB40E45" w:rsidR="005D437C" w:rsidRPr="004E680F" w:rsidRDefault="007D7594" w:rsidP="004E680F">
            <w:pPr>
              <w:pStyle w:val="Default"/>
              <w:spacing w:before="120" w:after="120"/>
              <w:jc w:val="both"/>
            </w:pPr>
            <w:bookmarkStart w:id="4" w:name="_Hlk166071899"/>
            <w:r w:rsidRPr="004E680F">
              <w:t>25</w:t>
            </w:r>
          </w:p>
        </w:tc>
        <w:tc>
          <w:tcPr>
            <w:tcW w:w="1843" w:type="dxa"/>
          </w:tcPr>
          <w:p w14:paraId="16AC5EA7" w14:textId="174533E1" w:rsidR="005D437C" w:rsidRPr="004E680F" w:rsidRDefault="005D437C" w:rsidP="004E680F">
            <w:pPr>
              <w:pStyle w:val="Default"/>
              <w:spacing w:before="120" w:after="120"/>
              <w:jc w:val="both"/>
            </w:pPr>
            <w:r w:rsidRPr="004E680F">
              <w:t>Rahandus</w:t>
            </w:r>
            <w:r w:rsidRPr="004E680F">
              <w:softHyphen/>
              <w:t>ministeerium</w:t>
            </w:r>
            <w:r w:rsidR="00EC561C" w:rsidRPr="004E680F">
              <w:t xml:space="preserve"> (RM)</w:t>
            </w:r>
          </w:p>
        </w:tc>
        <w:tc>
          <w:tcPr>
            <w:tcW w:w="5794" w:type="dxa"/>
          </w:tcPr>
          <w:p w14:paraId="42BA5D4C" w14:textId="75B45148" w:rsidR="005D437C" w:rsidRPr="004E680F" w:rsidRDefault="005D437C" w:rsidP="004E680F">
            <w:pPr>
              <w:spacing w:before="120" w:after="120"/>
              <w:jc w:val="both"/>
              <w:rPr>
                <w:rFonts w:ascii="Times New Roman" w:eastAsia="Times New Roman" w:hAnsi="Times New Roman" w:cs="Times New Roman"/>
                <w:sz w:val="24"/>
                <w:szCs w:val="24"/>
              </w:rPr>
            </w:pPr>
            <w:r w:rsidRPr="004E680F">
              <w:rPr>
                <w:rFonts w:ascii="Times New Roman" w:eastAsia="Times New Roman" w:hAnsi="Times New Roman" w:cs="Times New Roman"/>
                <w:sz w:val="24"/>
                <w:szCs w:val="24"/>
                <w:u w:val="single"/>
              </w:rPr>
              <w:t>Eelnõu punkt 4.1.1</w:t>
            </w:r>
            <w:r w:rsidRPr="004E680F">
              <w:rPr>
                <w:rFonts w:ascii="Times New Roman" w:eastAsia="Times New Roman" w:hAnsi="Times New Roman" w:cs="Times New Roman"/>
                <w:sz w:val="24"/>
                <w:szCs w:val="24"/>
              </w:rPr>
              <w:t xml:space="preserve">: tegevuse 1 kohta on seletuskirjas selgitatud (riigiabi analüüsi punktid 2 ja 5), et selle raames läbiviidavad uuringud on mõeldud teadmiste suurendamiseks ja arusaamise parandamiseks ning uuringute tulemused on laialdaselt kättesaadavad. Samas on riigiabi analüüsi punktis 4 kirjas, et tegevuse 1 raames </w:t>
            </w:r>
            <w:r w:rsidRPr="004E680F">
              <w:rPr>
                <w:rFonts w:ascii="Times New Roman" w:eastAsia="Times New Roman" w:hAnsi="Times New Roman" w:cs="Times New Roman"/>
                <w:sz w:val="24"/>
                <w:szCs w:val="24"/>
              </w:rPr>
              <w:lastRenderedPageBreak/>
              <w:t xml:space="preserve">läbiviidavad uuringud võivad viia intellektuaalomandini. Juhime tähelepanu, et vastavalt Euroopa Komisjoni teadus- ja arenduseks ning innovatsiooniks antava riigiabi raamistiku (TAI raamistik) punktile 20 (a)(iii) loetakse TA asutuse mittemajandustegevuseks uurimistulemuste laialdast levitamist mitteeksklusiivsel ja mittediskrimineerival alusel, nt õpetamise, avatud juurdepääsuga andmebaaside ja publikatsioonide või avatud lähtekoodiga tarkvara kaudu (sama selgitus on ka seletuskirjas lk 17). </w:t>
            </w:r>
          </w:p>
          <w:p w14:paraId="6DB7FD37" w14:textId="4698E185" w:rsidR="005D437C" w:rsidRPr="004E680F" w:rsidRDefault="005D437C" w:rsidP="004E680F">
            <w:pPr>
              <w:pStyle w:val="Loendilik"/>
              <w:spacing w:before="120" w:after="120"/>
              <w:ind w:left="0"/>
              <w:jc w:val="both"/>
              <w:rPr>
                <w:rFonts w:ascii="Times New Roman" w:eastAsia="Times New Roman" w:hAnsi="Times New Roman" w:cs="Times New Roman"/>
                <w:lang w:eastAsia="en-US"/>
              </w:rPr>
            </w:pPr>
            <w:r w:rsidRPr="004E680F">
              <w:rPr>
                <w:rFonts w:ascii="Times New Roman" w:hAnsi="Times New Roman" w:cs="Times New Roman"/>
                <w:lang w:eastAsia="en-US"/>
              </w:rPr>
              <w:t>Ka lisas 3 toodud uurimisteemad on vähemalt osaliselt väga spetsiifilised (s.o suunatud teatud kitsastele valdkondadele, nt k</w:t>
            </w:r>
            <w:r w:rsidRPr="004E680F">
              <w:rPr>
                <w:rFonts w:ascii="Times New Roman" w:hAnsi="Times New Roman" w:cs="Times New Roman"/>
              </w:rPr>
              <w:t>õrge lisandväärtusega tervist edendavad vadakutooted, põlevkivi väärindamine tooraineteks tööstustele), mistõttu ei saa Rahandusministeeriumi arvates välistada, et nimetatud uurimisteemade rahastamise puhul ei ole tegemist TA asutuse mittemajandustegevusega (s.o sõltumatu TA tegevusega).</w:t>
            </w:r>
          </w:p>
        </w:tc>
        <w:tc>
          <w:tcPr>
            <w:tcW w:w="5795" w:type="dxa"/>
          </w:tcPr>
          <w:p w14:paraId="1C376A1E" w14:textId="254B455B" w:rsidR="005D31C6" w:rsidRPr="004E680F" w:rsidRDefault="00BA16B4" w:rsidP="004E680F">
            <w:pPr>
              <w:pStyle w:val="Default"/>
              <w:spacing w:before="120" w:after="120"/>
              <w:jc w:val="both"/>
            </w:pPr>
            <w:r w:rsidRPr="00335A48">
              <w:rPr>
                <w:b/>
                <w:bCs/>
              </w:rPr>
              <w:lastRenderedPageBreak/>
              <w:t>Arvestatud</w:t>
            </w:r>
            <w:r w:rsidRPr="004E680F">
              <w:t>.</w:t>
            </w:r>
          </w:p>
          <w:p w14:paraId="3C554D4D" w14:textId="1F3DBBC4" w:rsidR="00BA16B4" w:rsidRPr="00335A48" w:rsidRDefault="00BA16B4" w:rsidP="004E680F">
            <w:pPr>
              <w:pStyle w:val="Default"/>
              <w:spacing w:before="120" w:after="120"/>
              <w:jc w:val="both"/>
            </w:pPr>
            <w:r w:rsidRPr="00335A48">
              <w:t>Riigiabi analüüsi</w:t>
            </w:r>
            <w:r w:rsidR="007B05E7">
              <w:t xml:space="preserve"> on</w:t>
            </w:r>
            <w:r w:rsidRPr="00335A48">
              <w:t xml:space="preserve"> täiendatud. </w:t>
            </w:r>
          </w:p>
          <w:p w14:paraId="467A0AEF" w14:textId="62DB2159" w:rsidR="005D31C6" w:rsidRPr="004E680F" w:rsidRDefault="00BA16B4" w:rsidP="004E680F">
            <w:pPr>
              <w:pStyle w:val="Default"/>
              <w:spacing w:before="120" w:after="120"/>
              <w:jc w:val="both"/>
            </w:pPr>
            <w:bookmarkStart w:id="5" w:name="_Hlk166009808"/>
            <w:r w:rsidRPr="004E680F">
              <w:t>Lisas 3 toodud uurimisteemad on küll kohati spetsiifilised, kuid tegemist on teemadega, mi</w:t>
            </w:r>
            <w:r w:rsidR="006F328D" w:rsidRPr="004E680F">
              <w:t xml:space="preserve">s on kantud fookusvaldkondade teekaartidele ning on uurimisteemasid </w:t>
            </w:r>
            <w:r w:rsidR="006F328D" w:rsidRPr="004E680F">
              <w:lastRenderedPageBreak/>
              <w:t xml:space="preserve">hinnanud ekspertide arvamuse kohaselt oma mõju ulatuselt seega laiemad kui ühe ettevõtte huvi. </w:t>
            </w:r>
            <w:bookmarkEnd w:id="5"/>
          </w:p>
        </w:tc>
      </w:tr>
      <w:bookmarkEnd w:id="4"/>
      <w:tr w:rsidR="005D437C" w:rsidRPr="004E680F" w14:paraId="23BF4C03" w14:textId="77777777" w:rsidTr="004E680F">
        <w:tc>
          <w:tcPr>
            <w:tcW w:w="562" w:type="dxa"/>
          </w:tcPr>
          <w:p w14:paraId="020E54B1" w14:textId="5BE11EF1" w:rsidR="005D437C" w:rsidRPr="004E680F" w:rsidRDefault="007D7594" w:rsidP="004E680F">
            <w:pPr>
              <w:pStyle w:val="Default"/>
              <w:spacing w:before="120" w:after="120"/>
              <w:jc w:val="both"/>
            </w:pPr>
            <w:r w:rsidRPr="004E680F">
              <w:lastRenderedPageBreak/>
              <w:t>26</w:t>
            </w:r>
          </w:p>
        </w:tc>
        <w:tc>
          <w:tcPr>
            <w:tcW w:w="1843" w:type="dxa"/>
          </w:tcPr>
          <w:p w14:paraId="7AD3C1F8" w14:textId="0DDB3A5A" w:rsidR="005D437C" w:rsidRPr="004E680F" w:rsidRDefault="005D437C" w:rsidP="004E680F">
            <w:pPr>
              <w:pStyle w:val="Default"/>
              <w:spacing w:before="120" w:after="120"/>
              <w:jc w:val="both"/>
            </w:pPr>
            <w:r w:rsidRPr="004E680F">
              <w:t>RM</w:t>
            </w:r>
          </w:p>
        </w:tc>
        <w:tc>
          <w:tcPr>
            <w:tcW w:w="5794" w:type="dxa"/>
          </w:tcPr>
          <w:p w14:paraId="28C545BA" w14:textId="69401DC3" w:rsidR="005D437C" w:rsidRPr="004E680F" w:rsidRDefault="005D437C" w:rsidP="004E680F">
            <w:pPr>
              <w:spacing w:before="120" w:after="120"/>
              <w:jc w:val="both"/>
              <w:rPr>
                <w:rFonts w:ascii="Times New Roman" w:hAnsi="Times New Roman" w:cs="Times New Roman"/>
                <w:sz w:val="24"/>
                <w:szCs w:val="24"/>
              </w:rPr>
            </w:pPr>
            <w:r w:rsidRPr="004E680F">
              <w:rPr>
                <w:rFonts w:ascii="Times New Roman" w:eastAsia="Times New Roman" w:hAnsi="Times New Roman" w:cs="Times New Roman"/>
                <w:sz w:val="24"/>
                <w:szCs w:val="24"/>
                <w:u w:val="single"/>
              </w:rPr>
              <w:t>Eelnõu punkt 4.4:</w:t>
            </w:r>
            <w:r w:rsidRPr="004E680F">
              <w:rPr>
                <w:rFonts w:ascii="Times New Roman" w:eastAsia="Times New Roman" w:hAnsi="Times New Roman" w:cs="Times New Roman"/>
                <w:sz w:val="24"/>
                <w:szCs w:val="24"/>
              </w:rPr>
              <w:t xml:space="preserve"> punkti kohaselt ei peeta tegevuse 1 raames antavat toetust riigiabiks, kui teadus- ja arendusprojekt on seotud mittemajandustegevusega. Selline säte jätab võimaluse, et teatud juhtudel siiski võivad TA projektid olla seotud majandustegevusega, mistõttu tuleks lisada käskkirja ka riigiabi andmist käsitlevad sätted – seda enam, et eelnõu punktis 9.3.15 on kirjas, et elluviija ja partnerid on kohustatud tagama tegevuse elluviimise vastavuse riigiabi reeglitele ning nende nõuetekohase täitmise.</w:t>
            </w:r>
          </w:p>
        </w:tc>
        <w:tc>
          <w:tcPr>
            <w:tcW w:w="5795" w:type="dxa"/>
          </w:tcPr>
          <w:p w14:paraId="547A4C4A" w14:textId="2263762F" w:rsidR="005D437C" w:rsidRPr="00335A48" w:rsidRDefault="00335A48" w:rsidP="004E680F">
            <w:pPr>
              <w:pStyle w:val="Default"/>
              <w:spacing w:before="120" w:after="120"/>
              <w:jc w:val="both"/>
              <w:rPr>
                <w:b/>
                <w:bCs/>
              </w:rPr>
            </w:pPr>
            <w:r>
              <w:rPr>
                <w:b/>
                <w:bCs/>
              </w:rPr>
              <w:t>Arvestatud</w:t>
            </w:r>
            <w:r w:rsidR="00E05557" w:rsidRPr="00335A48">
              <w:rPr>
                <w:b/>
                <w:bCs/>
              </w:rPr>
              <w:t>.</w:t>
            </w:r>
          </w:p>
          <w:p w14:paraId="3310BA13" w14:textId="23AB08C6" w:rsidR="005D437C" w:rsidRPr="004E680F" w:rsidRDefault="00335A48" w:rsidP="004E680F">
            <w:pPr>
              <w:pStyle w:val="Default"/>
              <w:spacing w:before="120" w:after="120"/>
              <w:jc w:val="both"/>
            </w:pPr>
            <w:r>
              <w:t xml:space="preserve">Riigiabi andmist käsitlevad sätted </w:t>
            </w:r>
            <w:r w:rsidR="007B05E7">
              <w:t xml:space="preserve">on </w:t>
            </w:r>
            <w:r>
              <w:t>eelnõusse lisatud.</w:t>
            </w:r>
          </w:p>
        </w:tc>
      </w:tr>
      <w:tr w:rsidR="007D7594" w:rsidRPr="004E680F" w14:paraId="79316E9B" w14:textId="77777777" w:rsidTr="004E680F">
        <w:tc>
          <w:tcPr>
            <w:tcW w:w="562" w:type="dxa"/>
          </w:tcPr>
          <w:p w14:paraId="1751838A" w14:textId="57C57585" w:rsidR="007D7594" w:rsidRPr="004E680F" w:rsidRDefault="007D7594" w:rsidP="004E680F">
            <w:pPr>
              <w:pStyle w:val="Default"/>
              <w:spacing w:before="120" w:after="120"/>
              <w:jc w:val="both"/>
            </w:pPr>
            <w:r w:rsidRPr="004E680F">
              <w:lastRenderedPageBreak/>
              <w:t>27</w:t>
            </w:r>
          </w:p>
        </w:tc>
        <w:tc>
          <w:tcPr>
            <w:tcW w:w="1843" w:type="dxa"/>
          </w:tcPr>
          <w:p w14:paraId="2D300D4A" w14:textId="77777777" w:rsidR="007D7594" w:rsidRPr="004E680F" w:rsidRDefault="007D7594" w:rsidP="004E680F">
            <w:pPr>
              <w:pStyle w:val="Default"/>
              <w:spacing w:before="120" w:after="120"/>
              <w:jc w:val="both"/>
            </w:pPr>
            <w:r w:rsidRPr="004E680F">
              <w:t>ETAG</w:t>
            </w:r>
          </w:p>
        </w:tc>
        <w:tc>
          <w:tcPr>
            <w:tcW w:w="5794" w:type="dxa"/>
          </w:tcPr>
          <w:p w14:paraId="277AA6A7" w14:textId="2BE22428" w:rsidR="007D7594" w:rsidRPr="004E680F" w:rsidRDefault="007B05E7" w:rsidP="004E680F">
            <w:pPr>
              <w:pStyle w:val="Default"/>
              <w:spacing w:before="120" w:after="120"/>
              <w:jc w:val="both"/>
            </w:pPr>
            <w:r>
              <w:t>P</w:t>
            </w:r>
            <w:r w:rsidR="007D7594" w:rsidRPr="004E680F">
              <w:t>unktis 2.3. kasutada „eksperimentaalarenduse“ defineerimiseks Frascati käsiraamatus kasutatud definitsiooni: „Eksperimentaalarendus on süstemaatiline töö, mis põhineb uurimistegevuse tulemusena saadud teadmistel ja praktilistel kogemustel ning loob uut teadmist eesmärgiga valmistada uusi tooteid, võtta kasutusele uusi protsesse või täiustada olemasolevaid tooteid või protsesse“, kuna tegemist on teadus- ja arendustegevust kirjeldava ja määratleva käsiraamatuga ning seda võiks läbivalt kasutada;</w:t>
            </w:r>
          </w:p>
        </w:tc>
        <w:tc>
          <w:tcPr>
            <w:tcW w:w="5795" w:type="dxa"/>
          </w:tcPr>
          <w:p w14:paraId="7DC57128" w14:textId="0A8BF748" w:rsidR="007D7594" w:rsidRPr="004E680F" w:rsidRDefault="007E7F26" w:rsidP="004E680F">
            <w:pPr>
              <w:pStyle w:val="Default"/>
              <w:spacing w:before="120" w:after="120"/>
              <w:jc w:val="both"/>
              <w:rPr>
                <w:b/>
                <w:bCs/>
              </w:rPr>
            </w:pPr>
            <w:r>
              <w:rPr>
                <w:b/>
                <w:bCs/>
              </w:rPr>
              <w:t>Ei</w:t>
            </w:r>
            <w:r w:rsidR="00807640" w:rsidRPr="004E680F">
              <w:rPr>
                <w:b/>
                <w:bCs/>
              </w:rPr>
              <w:t xml:space="preserve"> arvesta</w:t>
            </w:r>
            <w:r>
              <w:rPr>
                <w:b/>
                <w:bCs/>
              </w:rPr>
              <w:t>.</w:t>
            </w:r>
          </w:p>
          <w:p w14:paraId="2758152F" w14:textId="56EDD665" w:rsidR="00807640" w:rsidRPr="004E680F" w:rsidRDefault="00807640" w:rsidP="004E680F">
            <w:pPr>
              <w:pStyle w:val="Default"/>
              <w:spacing w:before="120" w:after="120"/>
              <w:jc w:val="both"/>
            </w:pPr>
            <w:r w:rsidRPr="004E680F">
              <w:t xml:space="preserve">Toetuse andmise tingimused lähtuvad TA-tegevuse, innovatsiooni ning ettevõtluse arengukavast 2021–2035 (TAIE arengukava) (seletuskiri punkt 1.1). Seega oleme lähtunud eelnõu mõistetes primaarselt Teadus- ja arendustegevuse korralduse seadusest (TAKS) ning juhul kui mõiste ei ole defineeritud nimetatud seaduses, siis kasutame selguse huvides TAIE arengukavas toodud mõisteid. </w:t>
            </w:r>
          </w:p>
        </w:tc>
      </w:tr>
      <w:tr w:rsidR="007D7594" w:rsidRPr="004E680F" w14:paraId="5AF038D4" w14:textId="77777777" w:rsidTr="004E680F">
        <w:tc>
          <w:tcPr>
            <w:tcW w:w="562" w:type="dxa"/>
          </w:tcPr>
          <w:p w14:paraId="786D3BE6" w14:textId="654C4FBF" w:rsidR="007D7594" w:rsidRPr="004E680F" w:rsidRDefault="007D7594" w:rsidP="004E680F">
            <w:pPr>
              <w:pStyle w:val="Default"/>
              <w:spacing w:before="120" w:after="120"/>
              <w:jc w:val="both"/>
            </w:pPr>
            <w:r w:rsidRPr="004E680F">
              <w:t>28</w:t>
            </w:r>
          </w:p>
        </w:tc>
        <w:tc>
          <w:tcPr>
            <w:tcW w:w="1843" w:type="dxa"/>
          </w:tcPr>
          <w:p w14:paraId="119FCFAF" w14:textId="77777777" w:rsidR="007D7594" w:rsidRPr="004E680F" w:rsidRDefault="007D7594" w:rsidP="004E680F">
            <w:pPr>
              <w:pStyle w:val="Default"/>
              <w:spacing w:before="120" w:after="120"/>
              <w:jc w:val="both"/>
            </w:pPr>
            <w:r w:rsidRPr="004E680F">
              <w:t>ETAG</w:t>
            </w:r>
          </w:p>
        </w:tc>
        <w:tc>
          <w:tcPr>
            <w:tcW w:w="5794" w:type="dxa"/>
          </w:tcPr>
          <w:p w14:paraId="3AEF1A0E" w14:textId="7D350315" w:rsidR="007D7594" w:rsidRPr="004E680F" w:rsidRDefault="007B05E7" w:rsidP="004E680F">
            <w:pPr>
              <w:pStyle w:val="Default"/>
              <w:spacing w:before="120" w:after="120"/>
              <w:jc w:val="both"/>
            </w:pPr>
            <w:r>
              <w:t>V</w:t>
            </w:r>
            <w:r w:rsidR="007D7594" w:rsidRPr="004E680F">
              <w:t>aadata läbivalt üle partneri ja projektis osaleva TA-asutuse mõisted ning defineerida need lisa 1 alguses. Praegu pole võimalik vahet teha, millised nõuded kehtivad partnerile ja millised projektis osalevale asutusele. Nt punktis 2.6. on neid nimetatud organisatsioonideks, punktides 4.7.2.2. ja 4.7.4.2. taotlevaks asutuseks ja partnerasutuseks. „Partneri“ definitsioon sisaldub punktis 7.2., aga see ei defineeri seda otse, vaid kaudselt ning eelnõus on partnerile kehtestavad nõuded juba enne punkti 7.2. välja toodud, mis teeb eelnõu jälgimise keeruliseks;</w:t>
            </w:r>
          </w:p>
        </w:tc>
        <w:tc>
          <w:tcPr>
            <w:tcW w:w="5795" w:type="dxa"/>
          </w:tcPr>
          <w:p w14:paraId="075AB99F" w14:textId="73969E2E" w:rsidR="00937113" w:rsidRPr="00C92D96" w:rsidRDefault="00937113" w:rsidP="004E680F">
            <w:pPr>
              <w:pStyle w:val="Default"/>
              <w:spacing w:before="120" w:after="120"/>
              <w:jc w:val="both"/>
              <w:rPr>
                <w:b/>
                <w:bCs/>
              </w:rPr>
            </w:pPr>
            <w:r w:rsidRPr="00C92D96">
              <w:rPr>
                <w:b/>
                <w:bCs/>
              </w:rPr>
              <w:t>Teadmiseks võetud.</w:t>
            </w:r>
          </w:p>
          <w:p w14:paraId="47675C0D" w14:textId="77777777" w:rsidR="00C92D96" w:rsidRDefault="001A2003" w:rsidP="004E680F">
            <w:pPr>
              <w:pStyle w:val="Default"/>
              <w:spacing w:before="120" w:after="120"/>
              <w:jc w:val="both"/>
            </w:pPr>
            <w:r w:rsidRPr="004E680F">
              <w:t>Partner on defineeritud Lisa 1 punktis 7.2</w:t>
            </w:r>
            <w:r w:rsidR="00937113" w:rsidRPr="004E680F">
              <w:t xml:space="preserve"> </w:t>
            </w:r>
            <w:r w:rsidRPr="004E680F">
              <w:t>Mõiste 2.6 on avatud seletuskirjas.</w:t>
            </w:r>
            <w:r w:rsidR="00937113" w:rsidRPr="004E680F">
              <w:t xml:space="preserve"> </w:t>
            </w:r>
          </w:p>
          <w:p w14:paraId="01C76EBF" w14:textId="371275D0" w:rsidR="007D7594" w:rsidRPr="004E680F" w:rsidRDefault="00937113" w:rsidP="004E680F">
            <w:pPr>
              <w:pStyle w:val="Default"/>
              <w:spacing w:before="120" w:after="120"/>
              <w:jc w:val="both"/>
            </w:pPr>
            <w:r w:rsidRPr="004E680F">
              <w:t xml:space="preserve">Lisa 1 punkti </w:t>
            </w:r>
            <w:r w:rsidR="00C92D96">
              <w:t>4</w:t>
            </w:r>
            <w:r w:rsidRPr="004E680F">
              <w:t xml:space="preserve"> alajaotus</w:t>
            </w:r>
            <w:r w:rsidR="00C92D96">
              <w:t xml:space="preserve">es </w:t>
            </w:r>
            <w:r w:rsidR="007B05E7">
              <w:t xml:space="preserve">on </w:t>
            </w:r>
            <w:r w:rsidR="00C92D96">
              <w:t>mõisted</w:t>
            </w:r>
            <w:r w:rsidRPr="004E680F">
              <w:t xml:space="preserve"> täpsustatud.</w:t>
            </w:r>
            <w:r w:rsidR="001A2003" w:rsidRPr="004E680F">
              <w:t xml:space="preserve"> </w:t>
            </w:r>
          </w:p>
        </w:tc>
      </w:tr>
      <w:tr w:rsidR="007D7594" w:rsidRPr="004E680F" w14:paraId="158FF5E1" w14:textId="77777777" w:rsidTr="004E680F">
        <w:tc>
          <w:tcPr>
            <w:tcW w:w="562" w:type="dxa"/>
          </w:tcPr>
          <w:p w14:paraId="4CC0F3A2" w14:textId="00D2B7BB" w:rsidR="007D7594" w:rsidRPr="004E680F" w:rsidRDefault="007D7594" w:rsidP="004E680F">
            <w:pPr>
              <w:pStyle w:val="Default"/>
              <w:spacing w:before="120" w:after="120"/>
              <w:jc w:val="both"/>
            </w:pPr>
            <w:r w:rsidRPr="004E680F">
              <w:t>29</w:t>
            </w:r>
          </w:p>
        </w:tc>
        <w:tc>
          <w:tcPr>
            <w:tcW w:w="1843" w:type="dxa"/>
          </w:tcPr>
          <w:p w14:paraId="214F7DCC" w14:textId="77777777" w:rsidR="007D7594" w:rsidRPr="004E680F" w:rsidRDefault="007D7594" w:rsidP="004E680F">
            <w:pPr>
              <w:pStyle w:val="Default"/>
              <w:spacing w:before="120" w:after="120"/>
              <w:jc w:val="both"/>
            </w:pPr>
            <w:r w:rsidRPr="004E680F">
              <w:t>ETAG</w:t>
            </w:r>
          </w:p>
        </w:tc>
        <w:tc>
          <w:tcPr>
            <w:tcW w:w="5794" w:type="dxa"/>
          </w:tcPr>
          <w:p w14:paraId="48DFD54C" w14:textId="2D21D7E2" w:rsidR="00937113" w:rsidRPr="004E680F" w:rsidRDefault="007B05E7" w:rsidP="004E680F">
            <w:pPr>
              <w:pStyle w:val="Default"/>
              <w:tabs>
                <w:tab w:val="left" w:pos="1530"/>
              </w:tabs>
              <w:spacing w:before="120" w:after="120"/>
              <w:jc w:val="both"/>
            </w:pPr>
            <w:r>
              <w:t>S</w:t>
            </w:r>
            <w:r w:rsidR="007D7594" w:rsidRPr="004E680F">
              <w:t>õnastada üheselt mõistetavalt, et toetust ei tohi kasutada majandustegevuseks. Praegu jõutakse seletuskirjas järeldusele, et riigiabi ei anta, aga eelnõu lisa 1 punktis 4.4. on tingimuslikult sõnastatud, et toetus ei ole riigiabi, kui teadus- ja arendusprojekt on seotud mittemajandus</w:t>
            </w:r>
            <w:r w:rsidR="00C92D96">
              <w:softHyphen/>
            </w:r>
            <w:r w:rsidR="007D7594" w:rsidRPr="004E680F">
              <w:t xml:space="preserve">tegevusega. Selleks, et tagada, et tegemist tõesti pole riigiabiga, võiks partneril ja projektis osaleval TA-asutusel olla selgesõnaline kohustus toetusest majandustegevust mitte ristsubsideerida. </w:t>
            </w:r>
          </w:p>
          <w:p w14:paraId="0199BCD3" w14:textId="1D4A5D09" w:rsidR="007D7594" w:rsidRPr="004E680F" w:rsidRDefault="007D7594" w:rsidP="004E680F">
            <w:pPr>
              <w:pStyle w:val="Default"/>
              <w:tabs>
                <w:tab w:val="left" w:pos="1530"/>
              </w:tabs>
              <w:spacing w:before="120" w:after="120"/>
              <w:jc w:val="both"/>
            </w:pPr>
            <w:r w:rsidRPr="004E680F">
              <w:lastRenderedPageBreak/>
              <w:t>Seletuskirjas on riigiabi analüüsis viidatud vanemale „Teadus- ja arendustegevuseks ning innovatsiooniks antava riigiabi raamistikule“, selle võiks asendada uuema viitega (2022/C 414/01)</w:t>
            </w:r>
          </w:p>
        </w:tc>
        <w:tc>
          <w:tcPr>
            <w:tcW w:w="5795" w:type="dxa"/>
          </w:tcPr>
          <w:p w14:paraId="715BA4B8" w14:textId="77777777" w:rsidR="007D7594" w:rsidRPr="004E680F" w:rsidRDefault="00E05557" w:rsidP="004E680F">
            <w:pPr>
              <w:pStyle w:val="Default"/>
              <w:spacing w:before="120" w:after="120"/>
              <w:jc w:val="both"/>
            </w:pPr>
            <w:r w:rsidRPr="00C92D96">
              <w:rPr>
                <w:b/>
                <w:bCs/>
              </w:rPr>
              <w:lastRenderedPageBreak/>
              <w:t>Arvestatud</w:t>
            </w:r>
            <w:r w:rsidRPr="004E680F">
              <w:t xml:space="preserve">. </w:t>
            </w:r>
          </w:p>
          <w:p w14:paraId="56A4C561" w14:textId="43A3B767" w:rsidR="007D7594" w:rsidRDefault="00C92D96" w:rsidP="004E680F">
            <w:pPr>
              <w:pStyle w:val="Default"/>
              <w:spacing w:before="120" w:after="120"/>
              <w:jc w:val="both"/>
            </w:pPr>
            <w:r>
              <w:t xml:space="preserve">Riigiabi andmist käsitlevad sätted </w:t>
            </w:r>
            <w:r w:rsidR="007B05E7">
              <w:t xml:space="preserve">on </w:t>
            </w:r>
            <w:r>
              <w:t>eelnõusse lisatud.</w:t>
            </w:r>
          </w:p>
          <w:p w14:paraId="01EDA999" w14:textId="75FFE947" w:rsidR="00C92D96" w:rsidRPr="004E680F" w:rsidRDefault="00C92D96" w:rsidP="004E680F">
            <w:pPr>
              <w:pStyle w:val="Default"/>
              <w:spacing w:before="120" w:after="120"/>
              <w:jc w:val="both"/>
            </w:pPr>
            <w:r>
              <w:t xml:space="preserve">Viide </w:t>
            </w:r>
            <w:r w:rsidR="007B05E7">
              <w:t xml:space="preserve">on </w:t>
            </w:r>
            <w:r>
              <w:t>korrigeeritud.</w:t>
            </w:r>
          </w:p>
        </w:tc>
      </w:tr>
      <w:tr w:rsidR="007D7594" w:rsidRPr="004E680F" w14:paraId="3CD7E10C" w14:textId="77777777" w:rsidTr="004E680F">
        <w:tc>
          <w:tcPr>
            <w:tcW w:w="562" w:type="dxa"/>
          </w:tcPr>
          <w:p w14:paraId="4ED8668E" w14:textId="49692340" w:rsidR="007D7594" w:rsidRPr="004E680F" w:rsidRDefault="007D7594" w:rsidP="004E680F">
            <w:pPr>
              <w:pStyle w:val="Default"/>
              <w:spacing w:before="120" w:after="120"/>
              <w:jc w:val="both"/>
            </w:pPr>
            <w:r w:rsidRPr="004E680F">
              <w:t>30</w:t>
            </w:r>
          </w:p>
        </w:tc>
        <w:tc>
          <w:tcPr>
            <w:tcW w:w="1843" w:type="dxa"/>
          </w:tcPr>
          <w:p w14:paraId="5EE32E69" w14:textId="77777777" w:rsidR="007D7594" w:rsidRPr="004E680F" w:rsidRDefault="007D7594" w:rsidP="004E680F">
            <w:pPr>
              <w:pStyle w:val="Default"/>
              <w:spacing w:before="120" w:after="120"/>
              <w:jc w:val="both"/>
            </w:pPr>
            <w:r w:rsidRPr="004E680F">
              <w:t>ETAG</w:t>
            </w:r>
          </w:p>
        </w:tc>
        <w:tc>
          <w:tcPr>
            <w:tcW w:w="5794" w:type="dxa"/>
          </w:tcPr>
          <w:p w14:paraId="4C786BFA" w14:textId="5D8177E7" w:rsidR="007D7594" w:rsidRPr="004E680F" w:rsidRDefault="007B05E7" w:rsidP="004E680F">
            <w:pPr>
              <w:pStyle w:val="Default"/>
              <w:tabs>
                <w:tab w:val="left" w:pos="1530"/>
              </w:tabs>
              <w:spacing w:before="120" w:after="120"/>
              <w:jc w:val="both"/>
            </w:pPr>
            <w:r>
              <w:t>M</w:t>
            </w:r>
            <w:r w:rsidR="007D7594" w:rsidRPr="004E680F">
              <w:t>õelda uuesti läbi ja vajadusel muuta ekspertkomisjonide ülesandeid ja töökorraldust. Hetkel on ekspertkomisjonid moodustatud haridus- ja teadusministri käskkirjaga. Kuna ekspertkomisjonid on mõeldud tegutsema terve temaatiliste TA-programmide kestuse, on ette näha, et nende koosseise peab ajakohasena hoidmiseks sagedasti muutma. Eelnõu kohaselt on ka just ETAGi ülesanne korraldada ekspertkomisjonide tööd ning teha nendega tihedalt koostööd. Halduskoormuse mõistliku jaotamise ning komisjonide haldamise paindlikkuse tagamiseks on mõistlik, et ETAG moodustab komisjonid ja neid ka vajadusel muudab. See vähendab ka segadust, miks vahendab ETAG ministrit nõustavate ja tema moodustatud komisjonide ettepanekuid. Igal juhul peab üle vaatama ja ajakohastama haridus-ja teadusministri käskkirjas nr 1.1 2/23/338 loetletud ekspertkomisjoni ülesanded, nt punkti 4.3. kohaselt on komisjoni ülesandeks teha ettepanekuid uurimisprojektide tegevuskavade ning tegevuste vahe</w:t>
            </w:r>
            <w:r w:rsidR="007179CF">
              <w:softHyphen/>
            </w:r>
            <w:r w:rsidR="007D7594" w:rsidRPr="004E680F">
              <w:t>aruannete tulemuste ja lõpparuande heakskiitmiseks Haridus ja Teadusministeeriumile, aga eelnõu kohaselt on heakskiitmine elluviija ülesanne</w:t>
            </w:r>
          </w:p>
        </w:tc>
        <w:tc>
          <w:tcPr>
            <w:tcW w:w="5795" w:type="dxa"/>
          </w:tcPr>
          <w:p w14:paraId="301F44DD" w14:textId="169DD51D" w:rsidR="007D7594" w:rsidRPr="00C92D96" w:rsidRDefault="00C92D96" w:rsidP="004E680F">
            <w:pPr>
              <w:pStyle w:val="Default"/>
              <w:spacing w:before="120" w:after="120"/>
              <w:jc w:val="both"/>
              <w:rPr>
                <w:b/>
                <w:bCs/>
              </w:rPr>
            </w:pPr>
            <w:r>
              <w:rPr>
                <w:b/>
                <w:bCs/>
              </w:rPr>
              <w:t>Ei arvesta.</w:t>
            </w:r>
          </w:p>
          <w:p w14:paraId="50AD9CCA" w14:textId="77777777" w:rsidR="002C16D2" w:rsidRPr="004E680F" w:rsidRDefault="006512CF" w:rsidP="004E680F">
            <w:pPr>
              <w:pStyle w:val="Default"/>
              <w:spacing w:before="120" w:after="120"/>
              <w:jc w:val="both"/>
            </w:pPr>
            <w:r w:rsidRPr="004E680F">
              <w:t xml:space="preserve">Ekspertkomisjonid on moodustatud rakendusasutuse poolt rahastusotsuste tegemise toetamiseks. ETAG on </w:t>
            </w:r>
            <w:r w:rsidR="002C16D2" w:rsidRPr="004E680F">
              <w:t xml:space="preserve">elluviija, kes ei tee rahastusotsuseid ja seega ei saa ekspertkomisjon olla ETAGi hallatav. </w:t>
            </w:r>
          </w:p>
          <w:p w14:paraId="42D33CFF" w14:textId="4091B07D" w:rsidR="00AD5813" w:rsidRPr="004E680F" w:rsidRDefault="00AD5813" w:rsidP="004E680F">
            <w:pPr>
              <w:pStyle w:val="Default"/>
              <w:spacing w:before="120" w:after="120"/>
              <w:jc w:val="both"/>
            </w:pPr>
            <w:r w:rsidRPr="004E680F">
              <w:t>Ekspertkomisjonide töökor</w:t>
            </w:r>
            <w:r w:rsidR="002C16D2" w:rsidRPr="004E680F">
              <w:t>ralduse täpsustame peale toetuse andmise tingimuste kinnitamist.</w:t>
            </w:r>
          </w:p>
        </w:tc>
      </w:tr>
      <w:tr w:rsidR="007D7594" w:rsidRPr="004E680F" w14:paraId="4C669B3E" w14:textId="77777777" w:rsidTr="004E680F">
        <w:tc>
          <w:tcPr>
            <w:tcW w:w="562" w:type="dxa"/>
          </w:tcPr>
          <w:p w14:paraId="40E15E1B" w14:textId="2B161CA5" w:rsidR="007D7594" w:rsidRPr="004E680F" w:rsidRDefault="007D7594" w:rsidP="004E680F">
            <w:pPr>
              <w:pStyle w:val="Default"/>
              <w:spacing w:before="120" w:after="120"/>
              <w:jc w:val="both"/>
            </w:pPr>
            <w:r w:rsidRPr="004E680F">
              <w:t>31</w:t>
            </w:r>
          </w:p>
        </w:tc>
        <w:tc>
          <w:tcPr>
            <w:tcW w:w="1843" w:type="dxa"/>
          </w:tcPr>
          <w:p w14:paraId="20E3F5FF" w14:textId="77777777" w:rsidR="007D7594" w:rsidRPr="004E680F" w:rsidRDefault="007D7594" w:rsidP="004E680F">
            <w:pPr>
              <w:pStyle w:val="Default"/>
              <w:spacing w:before="120" w:after="120"/>
              <w:jc w:val="both"/>
            </w:pPr>
            <w:r w:rsidRPr="004E680F">
              <w:t>ETAG</w:t>
            </w:r>
          </w:p>
        </w:tc>
        <w:tc>
          <w:tcPr>
            <w:tcW w:w="5794" w:type="dxa"/>
          </w:tcPr>
          <w:p w14:paraId="6460F65A" w14:textId="0875C739" w:rsidR="007D7594" w:rsidRPr="004E680F" w:rsidRDefault="007B05E7" w:rsidP="004E680F">
            <w:pPr>
              <w:pStyle w:val="Default"/>
              <w:tabs>
                <w:tab w:val="left" w:pos="1530"/>
              </w:tabs>
              <w:spacing w:before="120" w:after="120"/>
              <w:jc w:val="both"/>
            </w:pPr>
            <w:r>
              <w:t>T</w:t>
            </w:r>
            <w:r w:rsidR="007D7594" w:rsidRPr="004E680F">
              <w:t>äiendada punkti 14.3. ekspertkomisjoni ülesandega lõpparuande alusel teha elluviijale ettepanekuid lõppmakset mitte välja maksta ja/või toetus tagasi nõuda. Hetkel on see ülesanne kirjeldatud ainult vahearuande kohta punktis 14.3.4.;</w:t>
            </w:r>
          </w:p>
        </w:tc>
        <w:tc>
          <w:tcPr>
            <w:tcW w:w="5795" w:type="dxa"/>
          </w:tcPr>
          <w:p w14:paraId="523C682E" w14:textId="77777777" w:rsidR="007D7594" w:rsidRPr="004E680F" w:rsidRDefault="00862D86" w:rsidP="004E680F">
            <w:pPr>
              <w:pStyle w:val="Default"/>
              <w:spacing w:before="120" w:after="120"/>
              <w:jc w:val="both"/>
            </w:pPr>
            <w:r w:rsidRPr="004E680F">
              <w:rPr>
                <w:b/>
                <w:bCs/>
              </w:rPr>
              <w:t>Arvestatud</w:t>
            </w:r>
            <w:r w:rsidRPr="004E680F">
              <w:t>.</w:t>
            </w:r>
          </w:p>
          <w:p w14:paraId="76D7B5CE" w14:textId="4341F2A2" w:rsidR="00862D86" w:rsidRPr="004E680F" w:rsidRDefault="007179CF" w:rsidP="007179CF">
            <w:pPr>
              <w:spacing w:before="120" w:after="120"/>
              <w:jc w:val="both"/>
              <w:rPr>
                <w:rFonts w:ascii="Times New Roman" w:hAnsi="Times New Roman" w:cs="Times New Roman"/>
                <w:sz w:val="24"/>
                <w:szCs w:val="24"/>
              </w:rPr>
            </w:pPr>
            <w:r>
              <w:rPr>
                <w:rFonts w:ascii="Times New Roman" w:hAnsi="Times New Roman" w:cs="Times New Roman"/>
                <w:color w:val="000000"/>
                <w:sz w:val="24"/>
                <w:szCs w:val="24"/>
                <w14:ligatures w14:val="standardContextual"/>
              </w:rPr>
              <w:t xml:space="preserve">Lisatud </w:t>
            </w:r>
            <w:r w:rsidR="007B05E7">
              <w:rPr>
                <w:rFonts w:ascii="Times New Roman" w:hAnsi="Times New Roman" w:cs="Times New Roman"/>
                <w:color w:val="000000"/>
                <w:sz w:val="24"/>
                <w:szCs w:val="24"/>
                <w14:ligatures w14:val="standardContextual"/>
              </w:rPr>
              <w:t xml:space="preserve">on </w:t>
            </w:r>
            <w:r>
              <w:rPr>
                <w:rFonts w:ascii="Times New Roman" w:hAnsi="Times New Roman" w:cs="Times New Roman"/>
                <w:color w:val="000000"/>
                <w:sz w:val="24"/>
                <w:szCs w:val="24"/>
                <w14:ligatures w14:val="standardContextual"/>
              </w:rPr>
              <w:t>Lisa 1 punkt 15.3.5.</w:t>
            </w:r>
          </w:p>
        </w:tc>
      </w:tr>
      <w:tr w:rsidR="007D7594" w:rsidRPr="004E680F" w14:paraId="33C1939F" w14:textId="77777777" w:rsidTr="004E680F">
        <w:tc>
          <w:tcPr>
            <w:tcW w:w="562" w:type="dxa"/>
          </w:tcPr>
          <w:p w14:paraId="175E79A9" w14:textId="249BA15F" w:rsidR="007D7594" w:rsidRPr="004E680F" w:rsidRDefault="007D7594" w:rsidP="004E680F">
            <w:pPr>
              <w:pStyle w:val="Default"/>
              <w:spacing w:before="120" w:after="120"/>
              <w:jc w:val="both"/>
            </w:pPr>
            <w:r w:rsidRPr="004E680F">
              <w:lastRenderedPageBreak/>
              <w:t>32</w:t>
            </w:r>
          </w:p>
        </w:tc>
        <w:tc>
          <w:tcPr>
            <w:tcW w:w="1843" w:type="dxa"/>
          </w:tcPr>
          <w:p w14:paraId="1E6DFD99" w14:textId="77777777" w:rsidR="007D7594" w:rsidRPr="004E680F" w:rsidRDefault="007D7594" w:rsidP="004E680F">
            <w:pPr>
              <w:pStyle w:val="Default"/>
              <w:spacing w:before="120" w:after="120"/>
              <w:jc w:val="both"/>
            </w:pPr>
            <w:r w:rsidRPr="004E680F">
              <w:t>ETAG</w:t>
            </w:r>
          </w:p>
        </w:tc>
        <w:tc>
          <w:tcPr>
            <w:tcW w:w="5794" w:type="dxa"/>
          </w:tcPr>
          <w:p w14:paraId="7CA688B5" w14:textId="2CC22676" w:rsidR="007D7594" w:rsidRPr="004E680F" w:rsidRDefault="007B05E7" w:rsidP="004E680F">
            <w:pPr>
              <w:pStyle w:val="Default"/>
              <w:tabs>
                <w:tab w:val="left" w:pos="1530"/>
              </w:tabs>
              <w:spacing w:before="120" w:after="120"/>
              <w:jc w:val="both"/>
            </w:pPr>
            <w:r>
              <w:t>T</w:t>
            </w:r>
            <w:r w:rsidR="007D7594" w:rsidRPr="004E680F">
              <w:t>äiendada punktis 9.3.9., et kui tegemist on koostööprojektiga, on lepingu sõlmimise eelduseks partneri ja projektis osaleva(te) TA-asutus(t)e vaheline konsortsiumileping, milles on kirjeldatud poolte kohustused, tegevused ja eelarve jaotus;</w:t>
            </w:r>
          </w:p>
        </w:tc>
        <w:tc>
          <w:tcPr>
            <w:tcW w:w="5795" w:type="dxa"/>
          </w:tcPr>
          <w:p w14:paraId="50037D0A" w14:textId="77777777" w:rsidR="007D7594" w:rsidRDefault="007179CF" w:rsidP="004E680F">
            <w:pPr>
              <w:pStyle w:val="Default"/>
              <w:spacing w:before="120" w:after="120"/>
              <w:jc w:val="both"/>
            </w:pPr>
            <w:r w:rsidRPr="007179CF">
              <w:rPr>
                <w:b/>
                <w:bCs/>
              </w:rPr>
              <w:t>Arvestatud</w:t>
            </w:r>
            <w:r>
              <w:t>.</w:t>
            </w:r>
          </w:p>
          <w:p w14:paraId="1BD77574" w14:textId="7E447608" w:rsidR="007179CF" w:rsidRPr="004E680F" w:rsidRDefault="007179CF" w:rsidP="004E680F">
            <w:pPr>
              <w:pStyle w:val="Default"/>
              <w:spacing w:before="120" w:after="120"/>
              <w:jc w:val="both"/>
            </w:pPr>
            <w:r>
              <w:t xml:space="preserve">Lisatud </w:t>
            </w:r>
            <w:r w:rsidR="007B05E7">
              <w:t xml:space="preserve">on </w:t>
            </w:r>
            <w:r>
              <w:t xml:space="preserve">partneri kohustus 9.4.3., täiendatud </w:t>
            </w:r>
            <w:r w:rsidR="007B05E7">
              <w:t xml:space="preserve">on </w:t>
            </w:r>
            <w:r>
              <w:t>seletuskirja.</w:t>
            </w:r>
          </w:p>
        </w:tc>
      </w:tr>
      <w:tr w:rsidR="007D7594" w:rsidRPr="004E680F" w14:paraId="1F99F906" w14:textId="77777777" w:rsidTr="004E680F">
        <w:tc>
          <w:tcPr>
            <w:tcW w:w="562" w:type="dxa"/>
          </w:tcPr>
          <w:p w14:paraId="2449023F" w14:textId="0DAFBCA3" w:rsidR="007D7594" w:rsidRPr="004E680F" w:rsidRDefault="007D7594" w:rsidP="004E680F">
            <w:pPr>
              <w:pStyle w:val="Default"/>
              <w:spacing w:before="120" w:after="120"/>
              <w:jc w:val="both"/>
            </w:pPr>
            <w:r w:rsidRPr="004E680F">
              <w:t>33</w:t>
            </w:r>
          </w:p>
        </w:tc>
        <w:tc>
          <w:tcPr>
            <w:tcW w:w="1843" w:type="dxa"/>
          </w:tcPr>
          <w:p w14:paraId="1FE7E94E" w14:textId="77777777" w:rsidR="007D7594" w:rsidRPr="004E680F" w:rsidRDefault="007D7594" w:rsidP="004E680F">
            <w:pPr>
              <w:pStyle w:val="Default"/>
              <w:spacing w:before="120" w:after="120"/>
              <w:jc w:val="both"/>
            </w:pPr>
            <w:r w:rsidRPr="004E680F">
              <w:t>ETAG</w:t>
            </w:r>
          </w:p>
        </w:tc>
        <w:tc>
          <w:tcPr>
            <w:tcW w:w="5794" w:type="dxa"/>
          </w:tcPr>
          <w:p w14:paraId="1EEE1494" w14:textId="450BC116" w:rsidR="007D7594" w:rsidRPr="004E680F" w:rsidRDefault="007B05E7" w:rsidP="004E680F">
            <w:pPr>
              <w:pStyle w:val="Default"/>
              <w:tabs>
                <w:tab w:val="left" w:pos="1530"/>
              </w:tabs>
              <w:spacing w:before="120" w:after="120"/>
              <w:jc w:val="both"/>
            </w:pPr>
            <w:r>
              <w:t>T</w:t>
            </w:r>
            <w:r w:rsidR="007D7594" w:rsidRPr="004E680F">
              <w:t>äiendada partneri kohustusi punktis 9.4. kohustusega esitada elluviijale uurimisprojekti vahearuanded ja lõpparuanne;</w:t>
            </w:r>
          </w:p>
        </w:tc>
        <w:tc>
          <w:tcPr>
            <w:tcW w:w="5795" w:type="dxa"/>
          </w:tcPr>
          <w:p w14:paraId="1879FF13" w14:textId="77777777" w:rsidR="006C784C" w:rsidRPr="007179CF" w:rsidRDefault="006C784C" w:rsidP="004E680F">
            <w:pPr>
              <w:pStyle w:val="Default"/>
              <w:spacing w:before="120" w:after="120"/>
              <w:jc w:val="both"/>
              <w:rPr>
                <w:b/>
                <w:bCs/>
              </w:rPr>
            </w:pPr>
            <w:r w:rsidRPr="007179CF">
              <w:rPr>
                <w:b/>
                <w:bCs/>
              </w:rPr>
              <w:t>Arvestatud.</w:t>
            </w:r>
          </w:p>
          <w:p w14:paraId="2E9830EE" w14:textId="14E5A56D" w:rsidR="006C784C" w:rsidRPr="004E680F" w:rsidRDefault="007179CF" w:rsidP="004E680F">
            <w:pPr>
              <w:pStyle w:val="Default"/>
              <w:spacing w:before="120" w:after="120"/>
              <w:jc w:val="both"/>
            </w:pPr>
            <w:r>
              <w:t xml:space="preserve">Lisatud </w:t>
            </w:r>
            <w:r w:rsidR="007B05E7">
              <w:t xml:space="preserve">on </w:t>
            </w:r>
            <w:r>
              <w:t>Lisa 1 punkt 9.4.2.</w:t>
            </w:r>
          </w:p>
        </w:tc>
      </w:tr>
      <w:tr w:rsidR="007D7594" w:rsidRPr="004E680F" w14:paraId="18CC2367" w14:textId="77777777" w:rsidTr="004E680F">
        <w:tc>
          <w:tcPr>
            <w:tcW w:w="562" w:type="dxa"/>
          </w:tcPr>
          <w:p w14:paraId="70F3177F" w14:textId="56DCE09F" w:rsidR="007D7594" w:rsidRPr="004E680F" w:rsidRDefault="007D7594" w:rsidP="004E680F">
            <w:pPr>
              <w:pStyle w:val="Default"/>
              <w:spacing w:before="120" w:after="120"/>
              <w:jc w:val="both"/>
            </w:pPr>
            <w:r w:rsidRPr="004E680F">
              <w:t>34</w:t>
            </w:r>
          </w:p>
        </w:tc>
        <w:tc>
          <w:tcPr>
            <w:tcW w:w="1843" w:type="dxa"/>
          </w:tcPr>
          <w:p w14:paraId="38D94572" w14:textId="77777777" w:rsidR="007D7594" w:rsidRPr="004E680F" w:rsidRDefault="007D7594" w:rsidP="004E680F">
            <w:pPr>
              <w:pStyle w:val="Default"/>
              <w:spacing w:before="120" w:after="120"/>
              <w:jc w:val="both"/>
            </w:pPr>
            <w:r w:rsidRPr="004E680F">
              <w:t>ETAG</w:t>
            </w:r>
          </w:p>
        </w:tc>
        <w:tc>
          <w:tcPr>
            <w:tcW w:w="5794" w:type="dxa"/>
          </w:tcPr>
          <w:p w14:paraId="0249E5E2" w14:textId="555BB6AE" w:rsidR="007D7594" w:rsidRPr="004E680F" w:rsidRDefault="007B05E7" w:rsidP="004E680F">
            <w:pPr>
              <w:pStyle w:val="Default"/>
              <w:tabs>
                <w:tab w:val="left" w:pos="1530"/>
              </w:tabs>
              <w:spacing w:before="120" w:after="120"/>
              <w:jc w:val="both"/>
            </w:pPr>
            <w:r>
              <w:t>L</w:t>
            </w:r>
            <w:r w:rsidR="007D7594" w:rsidRPr="004E680F">
              <w:t xml:space="preserve">isada punkti 12.2.2. tegevuse 2 abikõlblike kulude alla eraldi punktina </w:t>
            </w:r>
            <w:r w:rsidR="007D7594" w:rsidRPr="003E1145">
              <w:t>välislähetuste ja õppereisidega seotud kulud (sh osalustasud</w:t>
            </w:r>
            <w:r w:rsidR="007D7594" w:rsidRPr="004E680F">
              <w:t>), kuna need on seotud elluviija tegevusega, mida on kirjeldatud punktis 9.3.10. (sh seire ja koostöö toetamine, mida on põhjalikumalt kirjeldatud ka seletuskirjas. Tegevused ei hõlma ainult siseriiklikke tegevusi, kuna fookusvaldkondade ja koostöö arendamise mõttes on oluline ka rahvusvaheline mõõde (nt väliskoostöö, välisturul tegutsevad ettevõtluspartnerid, nutika spetsialiseerumise praktikate ja seire rakendamine teistes Euroopa riikides jms);</w:t>
            </w:r>
          </w:p>
        </w:tc>
        <w:tc>
          <w:tcPr>
            <w:tcW w:w="5795" w:type="dxa"/>
          </w:tcPr>
          <w:p w14:paraId="257A3747" w14:textId="77777777" w:rsidR="007D7594" w:rsidRPr="007179CF" w:rsidRDefault="006C784C" w:rsidP="004E680F">
            <w:pPr>
              <w:pStyle w:val="Default"/>
              <w:spacing w:before="120" w:after="120"/>
              <w:jc w:val="both"/>
              <w:rPr>
                <w:b/>
                <w:bCs/>
              </w:rPr>
            </w:pPr>
            <w:r w:rsidRPr="007179CF">
              <w:rPr>
                <w:b/>
                <w:bCs/>
              </w:rPr>
              <w:t>Arvestatud osaliselt.</w:t>
            </w:r>
          </w:p>
          <w:p w14:paraId="6804BCCE" w14:textId="1F6B9C54" w:rsidR="006C784C" w:rsidRPr="004E680F" w:rsidRDefault="006C784C" w:rsidP="004E680F">
            <w:pPr>
              <w:pStyle w:val="Default"/>
              <w:spacing w:before="120" w:after="120"/>
              <w:jc w:val="both"/>
            </w:pPr>
            <w:r w:rsidRPr="004E680F">
              <w:t xml:space="preserve">Lisatud </w:t>
            </w:r>
            <w:r w:rsidR="007B05E7">
              <w:t xml:space="preserve">on </w:t>
            </w:r>
            <w:r w:rsidR="007179CF">
              <w:t xml:space="preserve">Lisa 1 punkt 12.2.2.5. (abikõlbulikud on /…/ </w:t>
            </w:r>
            <w:r w:rsidR="007179CF" w:rsidRPr="007179CF">
              <w:t>välislähetustega sh -ürituste osalemistasudega seotud kulud)</w:t>
            </w:r>
            <w:r w:rsidR="007179CF">
              <w:t>.</w:t>
            </w:r>
          </w:p>
        </w:tc>
      </w:tr>
      <w:tr w:rsidR="007D7594" w:rsidRPr="004E680F" w14:paraId="26EDA2F6" w14:textId="77777777" w:rsidTr="004E680F">
        <w:tc>
          <w:tcPr>
            <w:tcW w:w="562" w:type="dxa"/>
          </w:tcPr>
          <w:p w14:paraId="6A76D47F" w14:textId="74015B96" w:rsidR="007D7594" w:rsidRPr="004E680F" w:rsidRDefault="007D7594" w:rsidP="004E680F">
            <w:pPr>
              <w:pStyle w:val="Default"/>
              <w:spacing w:before="120" w:after="120"/>
              <w:jc w:val="both"/>
            </w:pPr>
            <w:r w:rsidRPr="004E680F">
              <w:t>35</w:t>
            </w:r>
          </w:p>
        </w:tc>
        <w:tc>
          <w:tcPr>
            <w:tcW w:w="1843" w:type="dxa"/>
          </w:tcPr>
          <w:p w14:paraId="6BC3012C" w14:textId="77777777" w:rsidR="007D7594" w:rsidRPr="004E680F" w:rsidRDefault="007D7594" w:rsidP="004E680F">
            <w:pPr>
              <w:pStyle w:val="Default"/>
              <w:spacing w:before="120" w:after="120"/>
              <w:jc w:val="both"/>
            </w:pPr>
            <w:r w:rsidRPr="004E680F">
              <w:t>ETAG</w:t>
            </w:r>
          </w:p>
        </w:tc>
        <w:tc>
          <w:tcPr>
            <w:tcW w:w="5794" w:type="dxa"/>
          </w:tcPr>
          <w:p w14:paraId="3310EA8C" w14:textId="3768D15C" w:rsidR="007D7594" w:rsidRPr="004E680F" w:rsidRDefault="007B05E7" w:rsidP="004E680F">
            <w:pPr>
              <w:pStyle w:val="Default"/>
              <w:tabs>
                <w:tab w:val="left" w:pos="1530"/>
              </w:tabs>
              <w:spacing w:before="120" w:after="120"/>
              <w:jc w:val="both"/>
            </w:pPr>
            <w:r>
              <w:t>M</w:t>
            </w:r>
            <w:r w:rsidR="007D7594" w:rsidRPr="004E680F">
              <w:t>uuta tegevuste eelarvet. Teen ettepaneku suurendada tegevus 2 eelarvet, et katta vajalikud personalikulud (sh programmijuhi töötasu) ja kaudsed kulud, mis praegu ei ole kajastatud piisavas mahus elluviija tegevustega seotud vajalike kulude katmiseks. Muudatusettepaneku eelarve kohta saadame eraldi eelnõu failis koos teiste, tehnilist laadi paranduste ja muudatusettepanekute ja eelarvekalkulatsioonidega.</w:t>
            </w:r>
          </w:p>
        </w:tc>
        <w:tc>
          <w:tcPr>
            <w:tcW w:w="5795" w:type="dxa"/>
          </w:tcPr>
          <w:p w14:paraId="46618D07" w14:textId="269E41B1" w:rsidR="007D7594" w:rsidRPr="00486755" w:rsidRDefault="00486755" w:rsidP="004E680F">
            <w:pPr>
              <w:pStyle w:val="Default"/>
              <w:spacing w:before="120" w:after="120"/>
              <w:jc w:val="both"/>
              <w:rPr>
                <w:b/>
                <w:bCs/>
              </w:rPr>
            </w:pPr>
            <w:r>
              <w:rPr>
                <w:b/>
                <w:bCs/>
              </w:rPr>
              <w:t>Ei</w:t>
            </w:r>
            <w:r w:rsidR="000A5B02" w:rsidRPr="00486755">
              <w:rPr>
                <w:b/>
                <w:bCs/>
              </w:rPr>
              <w:t xml:space="preserve"> arvesta.</w:t>
            </w:r>
          </w:p>
          <w:p w14:paraId="2B02D68D" w14:textId="197CD2A2" w:rsidR="000A5B02" w:rsidRPr="004E680F" w:rsidRDefault="000A5B02" w:rsidP="004E680F">
            <w:pPr>
              <w:pStyle w:val="Default"/>
              <w:spacing w:before="120" w:after="120"/>
              <w:jc w:val="both"/>
            </w:pPr>
            <w:r w:rsidRPr="004E680F">
              <w:t>Eelarve on eelnevalt läbi räägitud</w:t>
            </w:r>
            <w:r w:rsidR="00486755">
              <w:t>, vajalikud personalikulud saab katta tegevus 2 eelarvest.</w:t>
            </w:r>
            <w:r w:rsidRPr="004E680F">
              <w:t xml:space="preserve"> </w:t>
            </w:r>
          </w:p>
        </w:tc>
      </w:tr>
      <w:tr w:rsidR="00AC2238" w:rsidRPr="004E680F" w14:paraId="71BA68C0" w14:textId="77777777" w:rsidTr="004E680F">
        <w:tc>
          <w:tcPr>
            <w:tcW w:w="562" w:type="dxa"/>
          </w:tcPr>
          <w:p w14:paraId="77B6D51A" w14:textId="520B3111" w:rsidR="00AC2238" w:rsidRPr="004E680F" w:rsidRDefault="00AC2238" w:rsidP="004E680F">
            <w:pPr>
              <w:pStyle w:val="Default"/>
              <w:spacing w:before="120" w:after="120"/>
              <w:jc w:val="both"/>
            </w:pPr>
            <w:r w:rsidRPr="004E680F">
              <w:lastRenderedPageBreak/>
              <w:t>36</w:t>
            </w:r>
          </w:p>
        </w:tc>
        <w:tc>
          <w:tcPr>
            <w:tcW w:w="1843" w:type="dxa"/>
          </w:tcPr>
          <w:p w14:paraId="3C1A4F91" w14:textId="12662C59" w:rsidR="00AC2238" w:rsidRPr="004E680F" w:rsidRDefault="00AC2238" w:rsidP="004E680F">
            <w:pPr>
              <w:pStyle w:val="Default"/>
              <w:spacing w:before="120" w:after="120"/>
              <w:jc w:val="both"/>
            </w:pPr>
            <w:r w:rsidRPr="004E680F">
              <w:t>ETAG</w:t>
            </w:r>
          </w:p>
        </w:tc>
        <w:tc>
          <w:tcPr>
            <w:tcW w:w="5794" w:type="dxa"/>
          </w:tcPr>
          <w:p w14:paraId="586B30BC" w14:textId="74C01DA2" w:rsidR="00AC2238" w:rsidRPr="004E680F" w:rsidRDefault="00AC2238" w:rsidP="004E680F">
            <w:pPr>
              <w:spacing w:before="120" w:after="120"/>
              <w:jc w:val="both"/>
              <w:rPr>
                <w:rFonts w:ascii="Times New Roman" w:eastAsia="Times New Roman" w:hAnsi="Times New Roman" w:cs="Times New Roman"/>
                <w:sz w:val="24"/>
                <w:szCs w:val="24"/>
                <w:u w:val="single"/>
              </w:rPr>
            </w:pPr>
            <w:r w:rsidRPr="004E680F">
              <w:rPr>
                <w:rFonts w:ascii="Times New Roman" w:eastAsia="Times New Roman" w:hAnsi="Times New Roman" w:cs="Times New Roman"/>
                <w:sz w:val="24"/>
                <w:szCs w:val="24"/>
              </w:rPr>
              <w:t xml:space="preserve">Lisa 1 punkt 2.6 - </w:t>
            </w:r>
            <w:r w:rsidRPr="004E680F">
              <w:rPr>
                <w:rStyle w:val="cf01"/>
                <w:rFonts w:ascii="Times New Roman" w:hAnsi="Times New Roman" w:cs="Times New Roman"/>
                <w:sz w:val="24"/>
                <w:szCs w:val="24"/>
              </w:rPr>
              <w:t>Siin see organisatsioon jätab kuidagi vale mulje. Vähemalt üks neist peaks ju olema TA asutus? Sõnastada nt: osaleb lisaks partnerile vähemalt üks TA asutus või riigi rakenduskõrgkool.</w:t>
            </w:r>
          </w:p>
        </w:tc>
        <w:tc>
          <w:tcPr>
            <w:tcW w:w="5795" w:type="dxa"/>
          </w:tcPr>
          <w:p w14:paraId="3E37C826" w14:textId="0408CFBE" w:rsidR="00AC2238" w:rsidRPr="004E680F" w:rsidRDefault="00445C30" w:rsidP="004E680F">
            <w:pPr>
              <w:pStyle w:val="Default"/>
              <w:spacing w:before="120" w:after="120"/>
              <w:jc w:val="both"/>
              <w:rPr>
                <w:b/>
                <w:bCs/>
              </w:rPr>
            </w:pPr>
            <w:r>
              <w:rPr>
                <w:b/>
                <w:bCs/>
              </w:rPr>
              <w:t>Ei</w:t>
            </w:r>
            <w:r w:rsidR="003807A7" w:rsidRPr="004E680F">
              <w:rPr>
                <w:b/>
                <w:bCs/>
              </w:rPr>
              <w:t xml:space="preserve"> arvesta.</w:t>
            </w:r>
          </w:p>
          <w:p w14:paraId="23398BF1" w14:textId="5B101263" w:rsidR="003807A7" w:rsidRPr="004E680F" w:rsidRDefault="003807A7" w:rsidP="004E680F">
            <w:pPr>
              <w:pStyle w:val="Default"/>
              <w:spacing w:before="120" w:after="120"/>
              <w:jc w:val="both"/>
            </w:pPr>
            <w:r w:rsidRPr="004E680F">
              <w:t>Koostööprojekt</w:t>
            </w:r>
            <w:r w:rsidR="00445C30">
              <w:t>is</w:t>
            </w:r>
            <w:r w:rsidRPr="004E680F">
              <w:t xml:space="preserve"> või</w:t>
            </w:r>
            <w:r w:rsidR="00445C30">
              <w:t xml:space="preserve">vad osaleda ka lisaks partnerile teised </w:t>
            </w:r>
            <w:r w:rsidRPr="004E680F">
              <w:t xml:space="preserve"> TA-asutuse</w:t>
            </w:r>
            <w:r w:rsidR="00445C30">
              <w:t xml:space="preserve">d, (riiklikud) rakenduskõrgkoolid, </w:t>
            </w:r>
            <w:r w:rsidRPr="004E680F">
              <w:t>ettevõtte</w:t>
            </w:r>
            <w:r w:rsidR="00445C30">
              <w:t xml:space="preserve">d, liidud, ja teised </w:t>
            </w:r>
            <w:r w:rsidRPr="004E680F">
              <w:t xml:space="preserve"> organisatsiooni</w:t>
            </w:r>
            <w:r w:rsidR="00445C30">
              <w:t>d.</w:t>
            </w:r>
            <w:r w:rsidR="002861B3" w:rsidRPr="004E680F">
              <w:t xml:space="preserve"> Erandjuhul,  kui partneriks on positiivselt evalveeritud TA-asutus, mis ei ole ülikool, on defineeritud koostööprojekti partnereid (Lisa 1 pt 4.7.1)</w:t>
            </w:r>
            <w:r w:rsidR="00751D6B" w:rsidRPr="004E680F">
              <w:t>. Täpsemalt on mõiste avatud seletuskirjas.</w:t>
            </w:r>
          </w:p>
        </w:tc>
      </w:tr>
      <w:tr w:rsidR="00AC2238" w:rsidRPr="004E680F" w14:paraId="4FE520D6" w14:textId="77777777" w:rsidTr="004E680F">
        <w:tc>
          <w:tcPr>
            <w:tcW w:w="562" w:type="dxa"/>
          </w:tcPr>
          <w:p w14:paraId="6E429688" w14:textId="77777777" w:rsidR="00AC2238" w:rsidRPr="004E680F" w:rsidRDefault="00AC2238" w:rsidP="004E680F">
            <w:pPr>
              <w:pStyle w:val="Default"/>
              <w:spacing w:before="120" w:after="120"/>
              <w:jc w:val="both"/>
            </w:pPr>
            <w:r w:rsidRPr="004E680F">
              <w:t>37</w:t>
            </w:r>
          </w:p>
        </w:tc>
        <w:tc>
          <w:tcPr>
            <w:tcW w:w="1843" w:type="dxa"/>
          </w:tcPr>
          <w:p w14:paraId="0B95D50C" w14:textId="77777777" w:rsidR="00AC2238" w:rsidRPr="004E680F" w:rsidRDefault="00AC2238" w:rsidP="004E680F">
            <w:pPr>
              <w:pStyle w:val="Default"/>
              <w:spacing w:before="120" w:after="120"/>
              <w:jc w:val="both"/>
            </w:pPr>
            <w:r w:rsidRPr="004E680F">
              <w:t>ETAG</w:t>
            </w:r>
          </w:p>
        </w:tc>
        <w:tc>
          <w:tcPr>
            <w:tcW w:w="5794" w:type="dxa"/>
          </w:tcPr>
          <w:p w14:paraId="0E1AE7BB" w14:textId="77777777" w:rsidR="00AC2238" w:rsidRPr="004E680F" w:rsidRDefault="00AC2238" w:rsidP="004E680F">
            <w:pPr>
              <w:spacing w:before="120" w:after="120"/>
              <w:jc w:val="both"/>
              <w:rPr>
                <w:rFonts w:ascii="Times New Roman" w:eastAsia="Times New Roman" w:hAnsi="Times New Roman" w:cs="Times New Roman"/>
                <w:sz w:val="24"/>
                <w:szCs w:val="24"/>
              </w:rPr>
            </w:pPr>
            <w:r w:rsidRPr="004E680F">
              <w:rPr>
                <w:rFonts w:ascii="Times New Roman" w:eastAsia="Times New Roman" w:hAnsi="Times New Roman" w:cs="Times New Roman"/>
                <w:sz w:val="24"/>
                <w:szCs w:val="24"/>
              </w:rPr>
              <w:t xml:space="preserve">Lisa 1 punkt 4.1.2 - </w:t>
            </w:r>
            <w:r w:rsidRPr="004E680F">
              <w:rPr>
                <w:rStyle w:val="cf01"/>
                <w:rFonts w:ascii="Times New Roman" w:hAnsi="Times New Roman" w:cs="Times New Roman"/>
                <w:sz w:val="24"/>
                <w:szCs w:val="24"/>
              </w:rPr>
              <w:t>Siin peaks olema koostöökeskkonna edendamise toetamine. Sellepärast et edendamine on ikkagi teadlaste, ettevõtjate ja partnerite eneste ülesanne.</w:t>
            </w:r>
          </w:p>
        </w:tc>
        <w:tc>
          <w:tcPr>
            <w:tcW w:w="5795" w:type="dxa"/>
          </w:tcPr>
          <w:p w14:paraId="186D1CB7" w14:textId="403538C8" w:rsidR="00AC2238" w:rsidRPr="004E680F" w:rsidRDefault="00B7315D" w:rsidP="004E680F">
            <w:pPr>
              <w:pStyle w:val="Default"/>
              <w:spacing w:before="120" w:after="120"/>
              <w:jc w:val="both"/>
              <w:rPr>
                <w:b/>
                <w:bCs/>
              </w:rPr>
            </w:pPr>
            <w:r>
              <w:rPr>
                <w:b/>
                <w:bCs/>
              </w:rPr>
              <w:t>Ei</w:t>
            </w:r>
            <w:r w:rsidR="00165900" w:rsidRPr="004E680F">
              <w:rPr>
                <w:b/>
                <w:bCs/>
              </w:rPr>
              <w:t xml:space="preserve"> arvesta.</w:t>
            </w:r>
          </w:p>
          <w:p w14:paraId="3938B784" w14:textId="1DFF1BCA" w:rsidR="00165900" w:rsidRPr="004E680F" w:rsidRDefault="00165900" w:rsidP="004E680F">
            <w:pPr>
              <w:pStyle w:val="Default"/>
              <w:spacing w:before="120" w:after="120"/>
              <w:jc w:val="both"/>
            </w:pPr>
            <w:r w:rsidRPr="004E680F">
              <w:t>Koostöökeskkonna edendamises on elluviijal juhtiv roll ja vastutus.</w:t>
            </w:r>
          </w:p>
        </w:tc>
      </w:tr>
      <w:tr w:rsidR="00AC2238" w:rsidRPr="004E680F" w14:paraId="62B5946A" w14:textId="77777777" w:rsidTr="004E680F">
        <w:tc>
          <w:tcPr>
            <w:tcW w:w="562" w:type="dxa"/>
          </w:tcPr>
          <w:p w14:paraId="3E6B578A" w14:textId="5E8C6A15" w:rsidR="00AC2238" w:rsidRPr="004E680F" w:rsidRDefault="003E1145" w:rsidP="004E680F">
            <w:pPr>
              <w:pStyle w:val="Default"/>
              <w:spacing w:before="120" w:after="120"/>
              <w:jc w:val="both"/>
            </w:pPr>
            <w:r>
              <w:t>38</w:t>
            </w:r>
          </w:p>
        </w:tc>
        <w:tc>
          <w:tcPr>
            <w:tcW w:w="1843" w:type="dxa"/>
          </w:tcPr>
          <w:p w14:paraId="370A0C0B" w14:textId="77777777" w:rsidR="00AC2238" w:rsidRPr="004E680F" w:rsidRDefault="00AC2238" w:rsidP="004E680F">
            <w:pPr>
              <w:pStyle w:val="Default"/>
              <w:spacing w:before="120" w:after="120"/>
              <w:jc w:val="both"/>
            </w:pPr>
            <w:r w:rsidRPr="004E680F">
              <w:t>ETAG</w:t>
            </w:r>
          </w:p>
        </w:tc>
        <w:tc>
          <w:tcPr>
            <w:tcW w:w="5794" w:type="dxa"/>
          </w:tcPr>
          <w:p w14:paraId="177CE3B5" w14:textId="4805B4BD" w:rsidR="00AC2238" w:rsidRPr="004E680F" w:rsidRDefault="00AC2238" w:rsidP="004E680F">
            <w:pPr>
              <w:pStyle w:val="pf0"/>
              <w:spacing w:before="120" w:beforeAutospacing="0" w:after="120" w:afterAutospacing="0"/>
              <w:jc w:val="both"/>
            </w:pPr>
            <w:r w:rsidRPr="004E680F">
              <w:t>Lisa 1 punkt 4.7.4.4. – „uurimisteema ettepanek“ asendada „uurimisprojekt“</w:t>
            </w:r>
          </w:p>
        </w:tc>
        <w:tc>
          <w:tcPr>
            <w:tcW w:w="5795" w:type="dxa"/>
          </w:tcPr>
          <w:p w14:paraId="2D3844D6" w14:textId="421EC96F" w:rsidR="00AC2238" w:rsidRPr="004E680F" w:rsidRDefault="00165900" w:rsidP="004E680F">
            <w:pPr>
              <w:pStyle w:val="Default"/>
              <w:spacing w:before="120" w:after="120"/>
              <w:jc w:val="both"/>
            </w:pPr>
            <w:r w:rsidRPr="004E680F">
              <w:rPr>
                <w:b/>
                <w:bCs/>
              </w:rPr>
              <w:t>Arvestatud</w:t>
            </w:r>
            <w:r w:rsidRPr="004E680F">
              <w:t>.</w:t>
            </w:r>
          </w:p>
        </w:tc>
      </w:tr>
      <w:tr w:rsidR="00AC2238" w:rsidRPr="004E680F" w14:paraId="49732CE3" w14:textId="77777777" w:rsidTr="004E680F">
        <w:tc>
          <w:tcPr>
            <w:tcW w:w="562" w:type="dxa"/>
          </w:tcPr>
          <w:p w14:paraId="6B0B9C11" w14:textId="28A627F4" w:rsidR="00AC2238" w:rsidRPr="004E680F" w:rsidRDefault="00904F4C" w:rsidP="004E680F">
            <w:pPr>
              <w:pStyle w:val="Default"/>
              <w:spacing w:before="120" w:after="120"/>
              <w:jc w:val="both"/>
            </w:pPr>
            <w:r>
              <w:t>39</w:t>
            </w:r>
          </w:p>
        </w:tc>
        <w:tc>
          <w:tcPr>
            <w:tcW w:w="1843" w:type="dxa"/>
          </w:tcPr>
          <w:p w14:paraId="376F3827" w14:textId="77777777" w:rsidR="00AC2238" w:rsidRPr="004E680F" w:rsidRDefault="00AC2238" w:rsidP="004E680F">
            <w:pPr>
              <w:pStyle w:val="Default"/>
              <w:spacing w:before="120" w:after="120"/>
              <w:jc w:val="both"/>
            </w:pPr>
            <w:r w:rsidRPr="004E680F">
              <w:t>ETAG</w:t>
            </w:r>
          </w:p>
        </w:tc>
        <w:tc>
          <w:tcPr>
            <w:tcW w:w="5794" w:type="dxa"/>
          </w:tcPr>
          <w:p w14:paraId="40CA134C" w14:textId="131BD9A8" w:rsidR="00AC2238" w:rsidRPr="004E680F" w:rsidRDefault="00AC2238" w:rsidP="004E680F">
            <w:pPr>
              <w:pStyle w:val="pf0"/>
              <w:spacing w:before="120" w:beforeAutospacing="0" w:after="120" w:afterAutospacing="0"/>
              <w:jc w:val="both"/>
            </w:pPr>
            <w:r w:rsidRPr="003E1145">
              <w:t xml:space="preserve">Lisa 1 punkt 4.8 - </w:t>
            </w:r>
            <w:r w:rsidRPr="003E1145">
              <w:rPr>
                <w:rStyle w:val="cf01"/>
                <w:rFonts w:ascii="Times New Roman" w:hAnsi="Times New Roman" w:cs="Times New Roman"/>
                <w:sz w:val="24"/>
                <w:szCs w:val="24"/>
              </w:rPr>
              <w:t>Kuna paljud rahastatavad projektid on koostööprojektid, kus on partneriks ka ettevõtted (kes ei saa küll toetust oma kulude katteks, kuid kes sellele vaatamata võivad olla projekti partnerid), siis võib tegemist olla ka sellega, et partnerina tullakse projekti mingi IO-ga, mida tuleks selles võtmes eraldi käsitleda. Üldine sõnum on seni olnud, et proj</w:t>
            </w:r>
            <w:r w:rsidR="003E1145" w:rsidRPr="003E1145">
              <w:rPr>
                <w:rStyle w:val="cf01"/>
                <w:rFonts w:ascii="Times New Roman" w:hAnsi="Times New Roman" w:cs="Times New Roman"/>
                <w:sz w:val="24"/>
                <w:szCs w:val="24"/>
              </w:rPr>
              <w:t>ek</w:t>
            </w:r>
            <w:r w:rsidRPr="003E1145">
              <w:rPr>
                <w:rStyle w:val="cf01"/>
                <w:rFonts w:ascii="Times New Roman" w:hAnsi="Times New Roman" w:cs="Times New Roman"/>
                <w:sz w:val="24"/>
                <w:szCs w:val="24"/>
              </w:rPr>
              <w:t>ti raames loodava IO osas peab järgima põhimõtet, et see peab olema turuosalistele võrdsetel tingimustel kättesaadav ega tohi jääda ühe ettevõtte või kitsa ringi omandusse.</w:t>
            </w:r>
          </w:p>
        </w:tc>
        <w:tc>
          <w:tcPr>
            <w:tcW w:w="5795" w:type="dxa"/>
          </w:tcPr>
          <w:p w14:paraId="322BE9D3" w14:textId="77777777" w:rsidR="00AC2238" w:rsidRDefault="003E1145" w:rsidP="004E680F">
            <w:pPr>
              <w:pStyle w:val="Default"/>
              <w:spacing w:before="120" w:after="120"/>
              <w:jc w:val="both"/>
              <w:rPr>
                <w:b/>
                <w:bCs/>
              </w:rPr>
            </w:pPr>
            <w:r w:rsidRPr="003E1145">
              <w:rPr>
                <w:b/>
                <w:bCs/>
              </w:rPr>
              <w:t>Arvestatud.</w:t>
            </w:r>
          </w:p>
          <w:p w14:paraId="2353305D" w14:textId="2585877F" w:rsidR="003E1145" w:rsidRPr="003E1145" w:rsidRDefault="003E1145" w:rsidP="004E680F">
            <w:pPr>
              <w:pStyle w:val="Default"/>
              <w:spacing w:before="120" w:after="120"/>
              <w:jc w:val="both"/>
            </w:pPr>
            <w:r>
              <w:t xml:space="preserve">Seletuskirja </w:t>
            </w:r>
            <w:r w:rsidR="007B05E7">
              <w:t xml:space="preserve">on </w:t>
            </w:r>
            <w:r>
              <w:t xml:space="preserve">lisatud täiendavad selgitused </w:t>
            </w:r>
            <w:r w:rsidR="007B209B">
              <w:t xml:space="preserve">intellektuaalse vara </w:t>
            </w:r>
            <w:r>
              <w:t>käsitlemiseks.</w:t>
            </w:r>
            <w:r w:rsidR="007B05E7">
              <w:t xml:space="preserve"> Lisatud on intellektuaalse vara definitsioon (Lisa 1 pt 2.5).</w:t>
            </w:r>
          </w:p>
        </w:tc>
      </w:tr>
      <w:tr w:rsidR="00AC2238" w:rsidRPr="004E680F" w14:paraId="32371FC7" w14:textId="77777777" w:rsidTr="004E680F">
        <w:tc>
          <w:tcPr>
            <w:tcW w:w="562" w:type="dxa"/>
          </w:tcPr>
          <w:p w14:paraId="628DD6C8" w14:textId="25BF10B2" w:rsidR="00AC2238" w:rsidRPr="004E680F" w:rsidRDefault="00904F4C" w:rsidP="004E680F">
            <w:pPr>
              <w:pStyle w:val="Default"/>
              <w:spacing w:before="120" w:after="120"/>
              <w:jc w:val="both"/>
            </w:pPr>
            <w:r>
              <w:t>40</w:t>
            </w:r>
          </w:p>
        </w:tc>
        <w:tc>
          <w:tcPr>
            <w:tcW w:w="1843" w:type="dxa"/>
          </w:tcPr>
          <w:p w14:paraId="76759A15" w14:textId="77777777" w:rsidR="00AC2238" w:rsidRPr="004E680F" w:rsidRDefault="00AC2238" w:rsidP="004E680F">
            <w:pPr>
              <w:pStyle w:val="Default"/>
              <w:spacing w:before="120" w:after="120"/>
              <w:jc w:val="both"/>
            </w:pPr>
            <w:r w:rsidRPr="004E680F">
              <w:t>ETAG</w:t>
            </w:r>
          </w:p>
        </w:tc>
        <w:tc>
          <w:tcPr>
            <w:tcW w:w="5794" w:type="dxa"/>
          </w:tcPr>
          <w:p w14:paraId="18A51942" w14:textId="77777777" w:rsidR="00AC2238" w:rsidRPr="004E680F" w:rsidRDefault="00AC2238" w:rsidP="004E680F">
            <w:pPr>
              <w:pStyle w:val="pf0"/>
              <w:spacing w:before="120" w:beforeAutospacing="0" w:after="120" w:afterAutospacing="0"/>
              <w:jc w:val="both"/>
            </w:pPr>
            <w:r w:rsidRPr="004E680F">
              <w:t xml:space="preserve">Lisa 1 punkt 9.3.1 - </w:t>
            </w:r>
            <w:r w:rsidRPr="004E680F">
              <w:rPr>
                <w:rStyle w:val="cf01"/>
                <w:rFonts w:ascii="Times New Roman" w:hAnsi="Times New Roman" w:cs="Times New Roman"/>
                <w:sz w:val="24"/>
                <w:szCs w:val="24"/>
              </w:rPr>
              <w:t>Mida korraldamise ja ka koordineerimise all mõeldakse? Elluviija ei saa seda teha. Projekti korraldamine ja koordineerimine on ikka uurimisrühma ja asutuse roll.</w:t>
            </w:r>
          </w:p>
        </w:tc>
        <w:tc>
          <w:tcPr>
            <w:tcW w:w="5795" w:type="dxa"/>
          </w:tcPr>
          <w:p w14:paraId="7EAC33B0" w14:textId="77777777" w:rsidR="00917D1C" w:rsidRPr="00930923" w:rsidRDefault="00917D1C" w:rsidP="004E680F">
            <w:pPr>
              <w:pStyle w:val="Default"/>
              <w:spacing w:before="120" w:after="120"/>
              <w:jc w:val="both"/>
              <w:rPr>
                <w:b/>
                <w:bCs/>
              </w:rPr>
            </w:pPr>
            <w:r w:rsidRPr="00930923">
              <w:rPr>
                <w:b/>
                <w:bCs/>
              </w:rPr>
              <w:t>Arvestatud osaliselt.</w:t>
            </w:r>
          </w:p>
          <w:p w14:paraId="10C6B5BF" w14:textId="49463799" w:rsidR="00AC2238" w:rsidRPr="004E680F" w:rsidRDefault="00917D1C" w:rsidP="004E680F">
            <w:pPr>
              <w:pStyle w:val="Default"/>
              <w:spacing w:before="120" w:after="120"/>
              <w:jc w:val="both"/>
            </w:pPr>
            <w:r w:rsidRPr="004E680F">
              <w:t xml:space="preserve">Punkt 9.3.1 </w:t>
            </w:r>
            <w:r w:rsidR="007B05E7">
              <w:t xml:space="preserve">on </w:t>
            </w:r>
            <w:r w:rsidRPr="004E680F">
              <w:t xml:space="preserve">korrigeeritud. </w:t>
            </w:r>
          </w:p>
        </w:tc>
      </w:tr>
      <w:tr w:rsidR="00AC2238" w:rsidRPr="004E680F" w14:paraId="5C317F75" w14:textId="77777777" w:rsidTr="004E680F">
        <w:tc>
          <w:tcPr>
            <w:tcW w:w="562" w:type="dxa"/>
          </w:tcPr>
          <w:p w14:paraId="330BE163" w14:textId="2E327792" w:rsidR="00AC2238" w:rsidRPr="007B209B" w:rsidRDefault="00AC2238" w:rsidP="004E680F">
            <w:pPr>
              <w:pStyle w:val="Default"/>
              <w:spacing w:before="120" w:after="120"/>
              <w:jc w:val="both"/>
            </w:pPr>
            <w:r w:rsidRPr="007B209B">
              <w:lastRenderedPageBreak/>
              <w:t>4</w:t>
            </w:r>
            <w:r w:rsidR="00904F4C" w:rsidRPr="007B209B">
              <w:t>1</w:t>
            </w:r>
          </w:p>
        </w:tc>
        <w:tc>
          <w:tcPr>
            <w:tcW w:w="1843" w:type="dxa"/>
          </w:tcPr>
          <w:p w14:paraId="69D2684E" w14:textId="77777777" w:rsidR="00AC2238" w:rsidRPr="007B209B" w:rsidRDefault="00AC2238" w:rsidP="004E680F">
            <w:pPr>
              <w:pStyle w:val="Default"/>
              <w:spacing w:before="120" w:after="120"/>
              <w:jc w:val="both"/>
            </w:pPr>
            <w:r w:rsidRPr="007B209B">
              <w:t>ETAG</w:t>
            </w:r>
          </w:p>
        </w:tc>
        <w:tc>
          <w:tcPr>
            <w:tcW w:w="5794" w:type="dxa"/>
          </w:tcPr>
          <w:p w14:paraId="47F87444" w14:textId="50BB1660" w:rsidR="00AC2238" w:rsidRPr="007B209B" w:rsidRDefault="00AC2238" w:rsidP="004E680F">
            <w:pPr>
              <w:pStyle w:val="pf0"/>
              <w:spacing w:before="120" w:beforeAutospacing="0" w:after="120" w:afterAutospacing="0"/>
            </w:pPr>
            <w:r w:rsidRPr="007B209B">
              <w:rPr>
                <w:rStyle w:val="cf01"/>
                <w:rFonts w:ascii="Times New Roman" w:hAnsi="Times New Roman" w:cs="Times New Roman"/>
                <w:sz w:val="24"/>
                <w:szCs w:val="24"/>
              </w:rPr>
              <w:t>Lisa 1 punkt 9.3.4 - Partner on p7.2 kohaselt TA asutus aga neile DNSH rakendamise nõue ei kehti ( vt (EL) 2020/852 Art 1 ja 2013/34/EL Art 1, Lisa I ja Lisa II). Seega kas sellel punktil on üldse mõtet?</w:t>
            </w:r>
          </w:p>
        </w:tc>
        <w:tc>
          <w:tcPr>
            <w:tcW w:w="5795" w:type="dxa"/>
          </w:tcPr>
          <w:p w14:paraId="4011DC1B" w14:textId="77777777" w:rsidR="00AC2238" w:rsidRPr="007B209B" w:rsidRDefault="00930923" w:rsidP="004E680F">
            <w:pPr>
              <w:pStyle w:val="Default"/>
              <w:spacing w:before="120" w:after="120"/>
              <w:jc w:val="both"/>
              <w:rPr>
                <w:b/>
                <w:bCs/>
              </w:rPr>
            </w:pPr>
            <w:r w:rsidRPr="007B209B">
              <w:rPr>
                <w:b/>
                <w:bCs/>
              </w:rPr>
              <w:t>Ei arvesta.</w:t>
            </w:r>
          </w:p>
          <w:p w14:paraId="21913F2E" w14:textId="21341981" w:rsidR="00930923" w:rsidRPr="004E680F" w:rsidRDefault="004C4BB3" w:rsidP="004E680F">
            <w:pPr>
              <w:pStyle w:val="Default"/>
              <w:spacing w:before="120" w:after="120"/>
              <w:jc w:val="both"/>
            </w:pPr>
            <w:r w:rsidRPr="007B209B">
              <w:t xml:space="preserve">DNSH põhimõtetega arvestamine on läbiv, kogu </w:t>
            </w:r>
            <w:r w:rsidR="007B209B">
              <w:t>uurimisprojekti</w:t>
            </w:r>
            <w:r w:rsidRPr="007B209B">
              <w:t xml:space="preserve"> jooksul</w:t>
            </w:r>
            <w:r w:rsidR="007B209B">
              <w:t xml:space="preserve">. </w:t>
            </w:r>
            <w:r w:rsidR="000F01C6">
              <w:t>V</w:t>
            </w:r>
            <w:r w:rsidR="00930923" w:rsidRPr="007B209B">
              <w:t>astutajaks on TA-asutus ja kontrollijaks elluviija.</w:t>
            </w:r>
          </w:p>
        </w:tc>
      </w:tr>
      <w:tr w:rsidR="00AC2238" w:rsidRPr="004E680F" w14:paraId="0C8257F9" w14:textId="77777777" w:rsidTr="004E680F">
        <w:tc>
          <w:tcPr>
            <w:tcW w:w="562" w:type="dxa"/>
          </w:tcPr>
          <w:p w14:paraId="0EE67925" w14:textId="0AC4E40E" w:rsidR="00AC2238" w:rsidRPr="004E680F" w:rsidRDefault="00AC2238" w:rsidP="004E680F">
            <w:pPr>
              <w:pStyle w:val="Default"/>
              <w:spacing w:before="120" w:after="120"/>
              <w:jc w:val="both"/>
            </w:pPr>
            <w:r w:rsidRPr="004E680F">
              <w:t>4</w:t>
            </w:r>
            <w:r w:rsidR="00904F4C">
              <w:t>2</w:t>
            </w:r>
          </w:p>
        </w:tc>
        <w:tc>
          <w:tcPr>
            <w:tcW w:w="1843" w:type="dxa"/>
          </w:tcPr>
          <w:p w14:paraId="3AC247B3" w14:textId="77777777" w:rsidR="00AC2238" w:rsidRPr="004E680F" w:rsidRDefault="00AC2238" w:rsidP="004E680F">
            <w:pPr>
              <w:pStyle w:val="Default"/>
              <w:spacing w:before="120" w:after="120"/>
              <w:jc w:val="both"/>
            </w:pPr>
            <w:r w:rsidRPr="004E680F">
              <w:t>ETAG</w:t>
            </w:r>
          </w:p>
        </w:tc>
        <w:tc>
          <w:tcPr>
            <w:tcW w:w="5794" w:type="dxa"/>
          </w:tcPr>
          <w:p w14:paraId="4A456DE7" w14:textId="77777777" w:rsidR="00AC2238" w:rsidRPr="004E680F" w:rsidRDefault="00AC2238" w:rsidP="004E680F">
            <w:pPr>
              <w:spacing w:before="120" w:after="120" w:line="259" w:lineRule="auto"/>
              <w:jc w:val="both"/>
              <w:rPr>
                <w:rStyle w:val="cf01"/>
                <w:rFonts w:ascii="Times New Roman" w:hAnsi="Times New Roman" w:cs="Times New Roman"/>
                <w:sz w:val="24"/>
                <w:szCs w:val="24"/>
              </w:rPr>
            </w:pPr>
            <w:r w:rsidRPr="004E680F">
              <w:rPr>
                <w:rStyle w:val="cf01"/>
                <w:rFonts w:ascii="Times New Roman" w:hAnsi="Times New Roman" w:cs="Times New Roman"/>
                <w:sz w:val="24"/>
                <w:szCs w:val="24"/>
              </w:rPr>
              <w:t xml:space="preserve">Lisa 1 punkt 9.4.1 – Et oleks paindlikum ja võimalik liikuda ajakavas nii, et ei tuleks seisakuid, siis pakun välja uue sõnastuse. Kalendripäevad hakkavad jooksma alates vormi avanemisest. </w:t>
            </w:r>
          </w:p>
          <w:p w14:paraId="64960285" w14:textId="77777777" w:rsidR="00AC2238" w:rsidRPr="004E680F" w:rsidRDefault="00AC2238" w:rsidP="004E680F">
            <w:pPr>
              <w:spacing w:before="120" w:after="120" w:line="259" w:lineRule="auto"/>
              <w:jc w:val="both"/>
              <w:rPr>
                <w:rStyle w:val="cf01"/>
                <w:rFonts w:ascii="Times New Roman" w:hAnsi="Times New Roman" w:cs="Times New Roman"/>
                <w:sz w:val="24"/>
                <w:szCs w:val="24"/>
              </w:rPr>
            </w:pPr>
            <w:r w:rsidRPr="004E680F">
              <w:rPr>
                <w:rStyle w:val="cf01"/>
                <w:rFonts w:ascii="Times New Roman" w:hAnsi="Times New Roman" w:cs="Times New Roman"/>
                <w:sz w:val="24"/>
                <w:szCs w:val="24"/>
              </w:rPr>
              <w:t>Uus sõnastus „</w:t>
            </w:r>
            <w:r w:rsidRPr="004E680F">
              <w:rPr>
                <w:rFonts w:ascii="Times New Roman" w:hAnsi="Times New Roman" w:cs="Times New Roman"/>
                <w:sz w:val="24"/>
                <w:szCs w:val="24"/>
              </w:rPr>
              <w:t xml:space="preserve">esitama elluviijale uurimisprojekti lisas 3 toodud uurimisteemal elluviija koostatud vormil Eesti teadusinfosüsteemis ETIS </w:t>
            </w:r>
            <w:r w:rsidRPr="00904F4C">
              <w:rPr>
                <w:rFonts w:ascii="Times New Roman" w:hAnsi="Times New Roman" w:cs="Times New Roman"/>
                <w:sz w:val="24"/>
                <w:szCs w:val="24"/>
              </w:rPr>
              <w:t>elluviija antud tähtajaks, kuid mitte lühema aja jooksul kui 30</w:t>
            </w:r>
            <w:r w:rsidRPr="004E680F">
              <w:rPr>
                <w:rFonts w:ascii="Times New Roman" w:hAnsi="Times New Roman" w:cs="Times New Roman"/>
                <w:sz w:val="24"/>
                <w:szCs w:val="24"/>
              </w:rPr>
              <w:t xml:space="preserve"> kalendripäeva alates vormi avanemisest; </w:t>
            </w:r>
          </w:p>
        </w:tc>
        <w:tc>
          <w:tcPr>
            <w:tcW w:w="5795" w:type="dxa"/>
          </w:tcPr>
          <w:p w14:paraId="7142D728" w14:textId="559255A6" w:rsidR="00B34FA5" w:rsidRPr="004E680F" w:rsidRDefault="00C04A6C" w:rsidP="004E680F">
            <w:pPr>
              <w:pStyle w:val="Default"/>
              <w:spacing w:before="120" w:after="120"/>
              <w:jc w:val="both"/>
            </w:pPr>
            <w:r>
              <w:rPr>
                <w:b/>
                <w:bCs/>
              </w:rPr>
              <w:t>Arvestatud osaliselt</w:t>
            </w:r>
            <w:r w:rsidR="00904F4C">
              <w:rPr>
                <w:b/>
                <w:bCs/>
              </w:rPr>
              <w:t>.</w:t>
            </w:r>
          </w:p>
          <w:p w14:paraId="69EB8CB8" w14:textId="19764996" w:rsidR="00642949" w:rsidRPr="004E680F" w:rsidRDefault="00C04A6C" w:rsidP="004E680F">
            <w:pPr>
              <w:pStyle w:val="Default"/>
              <w:spacing w:before="120" w:after="120"/>
              <w:jc w:val="both"/>
            </w:pPr>
            <w:r>
              <w:t>Paindlikkuse lisamiseks on täiendatud Lisa 1 punkti 9.4.1 järgmiselt:  „… elluviija antud tähtajaks, kuid mitte hiljem kui 45 kalendripäeva…“</w:t>
            </w:r>
          </w:p>
        </w:tc>
      </w:tr>
      <w:tr w:rsidR="00AC2238" w:rsidRPr="004E680F" w14:paraId="150F7DD3" w14:textId="77777777" w:rsidTr="004E680F">
        <w:tc>
          <w:tcPr>
            <w:tcW w:w="562" w:type="dxa"/>
          </w:tcPr>
          <w:p w14:paraId="7F7598DC" w14:textId="7D283935" w:rsidR="00AC2238" w:rsidRPr="004E680F" w:rsidRDefault="00AC2238" w:rsidP="004E680F">
            <w:pPr>
              <w:pStyle w:val="Default"/>
              <w:spacing w:before="120" w:after="120"/>
              <w:jc w:val="both"/>
            </w:pPr>
            <w:r w:rsidRPr="004E680F">
              <w:t>4</w:t>
            </w:r>
            <w:r w:rsidR="00904F4C">
              <w:t>3</w:t>
            </w:r>
          </w:p>
        </w:tc>
        <w:tc>
          <w:tcPr>
            <w:tcW w:w="1843" w:type="dxa"/>
          </w:tcPr>
          <w:p w14:paraId="5D7632F8" w14:textId="77777777" w:rsidR="00AC2238" w:rsidRPr="004E680F" w:rsidRDefault="00AC2238" w:rsidP="004E680F">
            <w:pPr>
              <w:pStyle w:val="Default"/>
              <w:spacing w:before="120" w:after="120"/>
              <w:jc w:val="both"/>
            </w:pPr>
            <w:r w:rsidRPr="004E680F">
              <w:t>ETAG</w:t>
            </w:r>
          </w:p>
        </w:tc>
        <w:tc>
          <w:tcPr>
            <w:tcW w:w="5794" w:type="dxa"/>
          </w:tcPr>
          <w:p w14:paraId="1A8E4876" w14:textId="77777777" w:rsidR="00AC2238" w:rsidRPr="004E680F" w:rsidRDefault="00AC2238" w:rsidP="004E680F">
            <w:pPr>
              <w:spacing w:before="120" w:after="120"/>
              <w:jc w:val="both"/>
              <w:rPr>
                <w:rStyle w:val="cf01"/>
                <w:rFonts w:ascii="Times New Roman" w:hAnsi="Times New Roman" w:cs="Times New Roman"/>
                <w:sz w:val="24"/>
                <w:szCs w:val="24"/>
              </w:rPr>
            </w:pPr>
            <w:r w:rsidRPr="004E680F">
              <w:rPr>
                <w:rStyle w:val="cf01"/>
                <w:rFonts w:ascii="Times New Roman" w:hAnsi="Times New Roman" w:cs="Times New Roman"/>
                <w:sz w:val="24"/>
                <w:szCs w:val="24"/>
              </w:rPr>
              <w:t>Lisa 1 punkt 13.4 - Siia võiks lisada ka toetuse tagasinõudmise ettepaneku tegemise sarnaselt vahearuandele</w:t>
            </w:r>
          </w:p>
        </w:tc>
        <w:tc>
          <w:tcPr>
            <w:tcW w:w="5795" w:type="dxa"/>
          </w:tcPr>
          <w:p w14:paraId="61D06B3D" w14:textId="77777777" w:rsidR="00AC2238" w:rsidRDefault="00904F4C" w:rsidP="004E680F">
            <w:pPr>
              <w:pStyle w:val="Default"/>
              <w:spacing w:before="120" w:after="120"/>
              <w:jc w:val="both"/>
            </w:pPr>
            <w:r w:rsidRPr="00904F4C">
              <w:rPr>
                <w:b/>
                <w:bCs/>
              </w:rPr>
              <w:t>Arvestatud</w:t>
            </w:r>
            <w:r>
              <w:t>.</w:t>
            </w:r>
          </w:p>
          <w:p w14:paraId="5F7E8DB7" w14:textId="02AD9309" w:rsidR="00904F4C" w:rsidRPr="004E680F" w:rsidRDefault="00904F4C" w:rsidP="004E680F">
            <w:pPr>
              <w:pStyle w:val="Default"/>
              <w:spacing w:before="120" w:after="120"/>
              <w:jc w:val="both"/>
            </w:pPr>
            <w:r>
              <w:t xml:space="preserve">Täiendus </w:t>
            </w:r>
            <w:r w:rsidR="007B05E7">
              <w:t xml:space="preserve">on </w:t>
            </w:r>
            <w:r>
              <w:t>lisatud.</w:t>
            </w:r>
          </w:p>
        </w:tc>
      </w:tr>
    </w:tbl>
    <w:p w14:paraId="51498F60" w14:textId="326C8614" w:rsidR="00C752C8" w:rsidRPr="004E680F" w:rsidRDefault="00C752C8" w:rsidP="00C752C8">
      <w:pPr>
        <w:pStyle w:val="Default"/>
        <w:jc w:val="both"/>
      </w:pPr>
    </w:p>
    <w:sectPr w:rsidR="00C752C8" w:rsidRPr="004E680F" w:rsidSect="00AD409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80E1C"/>
    <w:multiLevelType w:val="multilevel"/>
    <w:tmpl w:val="D91A37A2"/>
    <w:lvl w:ilvl="0">
      <w:start w:val="1"/>
      <w:numFmt w:val="decimal"/>
      <w:lvlText w:val="%1."/>
      <w:lvlJc w:val="left"/>
      <w:pPr>
        <w:ind w:left="360" w:hanging="360"/>
      </w:pPr>
      <w:rPr>
        <w:rFonts w:hint="default"/>
      </w:rPr>
    </w:lvl>
    <w:lvl w:ilvl="1">
      <w:start w:val="1"/>
      <w:numFmt w:val="decimal"/>
      <w:lvlText w:val="%1.%2."/>
      <w:lvlJc w:val="left"/>
      <w:pPr>
        <w:ind w:left="891" w:hanging="607"/>
      </w:pPr>
    </w:lvl>
    <w:lvl w:ilvl="2">
      <w:start w:val="1"/>
      <w:numFmt w:val="decimal"/>
      <w:lvlText w:val="%1.%2.%3."/>
      <w:lvlJc w:val="left"/>
      <w:pPr>
        <w:ind w:left="1928" w:hanging="964"/>
      </w:pPr>
      <w:rPr>
        <w:rFonts w:hint="default"/>
      </w:rPr>
    </w:lvl>
    <w:lvl w:ilvl="3">
      <w:start w:val="1"/>
      <w:numFmt w:val="decimal"/>
      <w:lvlText w:val="%1.%2.%3.%4."/>
      <w:lvlJc w:val="left"/>
      <w:pPr>
        <w:ind w:left="2608" w:hanging="13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3C925F7"/>
    <w:multiLevelType w:val="hybridMultilevel"/>
    <w:tmpl w:val="9D343F24"/>
    <w:lvl w:ilvl="0" w:tplc="CD803478">
      <w:start w:val="1"/>
      <w:numFmt w:val="decimal"/>
      <w:lvlText w:val="%1."/>
      <w:lvlJc w:val="left"/>
      <w:pPr>
        <w:ind w:left="397" w:hanging="397"/>
      </w:pPr>
      <w:rPr>
        <w:rFonts w:hint="default"/>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32269577">
    <w:abstractNumId w:val="1"/>
  </w:num>
  <w:num w:numId="2" w16cid:durableId="1857845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27"/>
    <w:rsid w:val="000242BD"/>
    <w:rsid w:val="0003495B"/>
    <w:rsid w:val="000458AB"/>
    <w:rsid w:val="00054C09"/>
    <w:rsid w:val="00055FBA"/>
    <w:rsid w:val="00063311"/>
    <w:rsid w:val="00072C84"/>
    <w:rsid w:val="000762C3"/>
    <w:rsid w:val="00092C07"/>
    <w:rsid w:val="000A001D"/>
    <w:rsid w:val="000A5B02"/>
    <w:rsid w:val="000B2CCB"/>
    <w:rsid w:val="000C0D39"/>
    <w:rsid w:val="000C2922"/>
    <w:rsid w:val="000E1170"/>
    <w:rsid w:val="000F01C6"/>
    <w:rsid w:val="0010123F"/>
    <w:rsid w:val="0010147B"/>
    <w:rsid w:val="00105081"/>
    <w:rsid w:val="00113F15"/>
    <w:rsid w:val="00124C3C"/>
    <w:rsid w:val="00131570"/>
    <w:rsid w:val="00144CAA"/>
    <w:rsid w:val="00155D35"/>
    <w:rsid w:val="00156D11"/>
    <w:rsid w:val="001618D1"/>
    <w:rsid w:val="00165900"/>
    <w:rsid w:val="00165F61"/>
    <w:rsid w:val="00166A10"/>
    <w:rsid w:val="00173F74"/>
    <w:rsid w:val="00184CA4"/>
    <w:rsid w:val="001948B5"/>
    <w:rsid w:val="001978E2"/>
    <w:rsid w:val="001A2003"/>
    <w:rsid w:val="001A2317"/>
    <w:rsid w:val="001B01BB"/>
    <w:rsid w:val="001B29DE"/>
    <w:rsid w:val="001B47F7"/>
    <w:rsid w:val="001B56E5"/>
    <w:rsid w:val="001D04CB"/>
    <w:rsid w:val="001D7193"/>
    <w:rsid w:val="001E55EE"/>
    <w:rsid w:val="001F73C3"/>
    <w:rsid w:val="0020261D"/>
    <w:rsid w:val="00242930"/>
    <w:rsid w:val="002559BC"/>
    <w:rsid w:val="00256A16"/>
    <w:rsid w:val="00282648"/>
    <w:rsid w:val="00283437"/>
    <w:rsid w:val="00283AE2"/>
    <w:rsid w:val="002861B3"/>
    <w:rsid w:val="002B1BE4"/>
    <w:rsid w:val="002C16D2"/>
    <w:rsid w:val="002E2C7C"/>
    <w:rsid w:val="002F2C7E"/>
    <w:rsid w:val="00313009"/>
    <w:rsid w:val="003137B3"/>
    <w:rsid w:val="00326ABA"/>
    <w:rsid w:val="0033121D"/>
    <w:rsid w:val="00335A48"/>
    <w:rsid w:val="003365FD"/>
    <w:rsid w:val="00353E71"/>
    <w:rsid w:val="0035601E"/>
    <w:rsid w:val="003649D5"/>
    <w:rsid w:val="003729E7"/>
    <w:rsid w:val="003807A7"/>
    <w:rsid w:val="00390093"/>
    <w:rsid w:val="003A711C"/>
    <w:rsid w:val="003B1E66"/>
    <w:rsid w:val="003C047C"/>
    <w:rsid w:val="003E1145"/>
    <w:rsid w:val="003E3EEC"/>
    <w:rsid w:val="003F186B"/>
    <w:rsid w:val="003F6F99"/>
    <w:rsid w:val="00423629"/>
    <w:rsid w:val="00423E4E"/>
    <w:rsid w:val="00435DC9"/>
    <w:rsid w:val="00437A3C"/>
    <w:rsid w:val="00437AFD"/>
    <w:rsid w:val="00440127"/>
    <w:rsid w:val="00443CE0"/>
    <w:rsid w:val="00445C30"/>
    <w:rsid w:val="00450BC0"/>
    <w:rsid w:val="00486755"/>
    <w:rsid w:val="00494C9C"/>
    <w:rsid w:val="004A70C5"/>
    <w:rsid w:val="004C10D4"/>
    <w:rsid w:val="004C4BB3"/>
    <w:rsid w:val="004C6260"/>
    <w:rsid w:val="004D3B2B"/>
    <w:rsid w:val="004E680F"/>
    <w:rsid w:val="004F2C25"/>
    <w:rsid w:val="00506F47"/>
    <w:rsid w:val="00532EA9"/>
    <w:rsid w:val="00543D18"/>
    <w:rsid w:val="00546ECF"/>
    <w:rsid w:val="00561EE4"/>
    <w:rsid w:val="005755E0"/>
    <w:rsid w:val="0059097D"/>
    <w:rsid w:val="005A7E9E"/>
    <w:rsid w:val="005B20E0"/>
    <w:rsid w:val="005B4C42"/>
    <w:rsid w:val="005D31C6"/>
    <w:rsid w:val="005D437C"/>
    <w:rsid w:val="005D7FED"/>
    <w:rsid w:val="005E54BD"/>
    <w:rsid w:val="00613DCC"/>
    <w:rsid w:val="006304E5"/>
    <w:rsid w:val="00642949"/>
    <w:rsid w:val="006512CF"/>
    <w:rsid w:val="006513EA"/>
    <w:rsid w:val="00663D75"/>
    <w:rsid w:val="00670102"/>
    <w:rsid w:val="00670863"/>
    <w:rsid w:val="0067314E"/>
    <w:rsid w:val="0068171C"/>
    <w:rsid w:val="00683347"/>
    <w:rsid w:val="006A6CAB"/>
    <w:rsid w:val="006B3FE1"/>
    <w:rsid w:val="006B5DD8"/>
    <w:rsid w:val="006C1C8E"/>
    <w:rsid w:val="006C50D7"/>
    <w:rsid w:val="006C784C"/>
    <w:rsid w:val="006D5C7B"/>
    <w:rsid w:val="006F328D"/>
    <w:rsid w:val="00700DD6"/>
    <w:rsid w:val="00703209"/>
    <w:rsid w:val="00707872"/>
    <w:rsid w:val="007179CF"/>
    <w:rsid w:val="00723246"/>
    <w:rsid w:val="00726AF4"/>
    <w:rsid w:val="007324A4"/>
    <w:rsid w:val="0075104E"/>
    <w:rsid w:val="00751D6B"/>
    <w:rsid w:val="00755686"/>
    <w:rsid w:val="00772B72"/>
    <w:rsid w:val="00790479"/>
    <w:rsid w:val="007A183F"/>
    <w:rsid w:val="007A4DEE"/>
    <w:rsid w:val="007B05E7"/>
    <w:rsid w:val="007B209B"/>
    <w:rsid w:val="007B27CA"/>
    <w:rsid w:val="007D5209"/>
    <w:rsid w:val="007D6910"/>
    <w:rsid w:val="007D7594"/>
    <w:rsid w:val="007E7F26"/>
    <w:rsid w:val="007F4695"/>
    <w:rsid w:val="00807640"/>
    <w:rsid w:val="00820EF9"/>
    <w:rsid w:val="00822022"/>
    <w:rsid w:val="00826612"/>
    <w:rsid w:val="00852EB6"/>
    <w:rsid w:val="008625A9"/>
    <w:rsid w:val="00862D86"/>
    <w:rsid w:val="00887D9C"/>
    <w:rsid w:val="008919F6"/>
    <w:rsid w:val="008C31B8"/>
    <w:rsid w:val="008C65DC"/>
    <w:rsid w:val="008C781C"/>
    <w:rsid w:val="008E106B"/>
    <w:rsid w:val="008E3112"/>
    <w:rsid w:val="008E4F88"/>
    <w:rsid w:val="0090188A"/>
    <w:rsid w:val="009018FE"/>
    <w:rsid w:val="00903AD0"/>
    <w:rsid w:val="00904F4C"/>
    <w:rsid w:val="00917D1C"/>
    <w:rsid w:val="00926715"/>
    <w:rsid w:val="00930923"/>
    <w:rsid w:val="00937113"/>
    <w:rsid w:val="00941824"/>
    <w:rsid w:val="00945D25"/>
    <w:rsid w:val="0095155B"/>
    <w:rsid w:val="009520DC"/>
    <w:rsid w:val="00956620"/>
    <w:rsid w:val="009752CF"/>
    <w:rsid w:val="009A78D7"/>
    <w:rsid w:val="009B5B4A"/>
    <w:rsid w:val="009C0821"/>
    <w:rsid w:val="00A0687D"/>
    <w:rsid w:val="00A11574"/>
    <w:rsid w:val="00A16FC4"/>
    <w:rsid w:val="00A25424"/>
    <w:rsid w:val="00A27350"/>
    <w:rsid w:val="00A32DBE"/>
    <w:rsid w:val="00A33183"/>
    <w:rsid w:val="00A5070B"/>
    <w:rsid w:val="00A52369"/>
    <w:rsid w:val="00A63FC2"/>
    <w:rsid w:val="00A72C5B"/>
    <w:rsid w:val="00AA64CF"/>
    <w:rsid w:val="00AC1C0D"/>
    <w:rsid w:val="00AC2238"/>
    <w:rsid w:val="00AC54F0"/>
    <w:rsid w:val="00AD2C92"/>
    <w:rsid w:val="00AD4094"/>
    <w:rsid w:val="00AD5813"/>
    <w:rsid w:val="00AD7CBF"/>
    <w:rsid w:val="00AF08BC"/>
    <w:rsid w:val="00AF34AC"/>
    <w:rsid w:val="00B06122"/>
    <w:rsid w:val="00B0729D"/>
    <w:rsid w:val="00B104D5"/>
    <w:rsid w:val="00B34FA5"/>
    <w:rsid w:val="00B52BC4"/>
    <w:rsid w:val="00B66460"/>
    <w:rsid w:val="00B7315D"/>
    <w:rsid w:val="00B742C2"/>
    <w:rsid w:val="00B74618"/>
    <w:rsid w:val="00B75946"/>
    <w:rsid w:val="00B81848"/>
    <w:rsid w:val="00B9199C"/>
    <w:rsid w:val="00BA16B4"/>
    <w:rsid w:val="00BA26CE"/>
    <w:rsid w:val="00BA2C61"/>
    <w:rsid w:val="00BB0771"/>
    <w:rsid w:val="00BF01EE"/>
    <w:rsid w:val="00BF03F2"/>
    <w:rsid w:val="00BF4B07"/>
    <w:rsid w:val="00C04A6C"/>
    <w:rsid w:val="00C14892"/>
    <w:rsid w:val="00C34C42"/>
    <w:rsid w:val="00C35FD9"/>
    <w:rsid w:val="00C555E9"/>
    <w:rsid w:val="00C62FA8"/>
    <w:rsid w:val="00C724C0"/>
    <w:rsid w:val="00C75067"/>
    <w:rsid w:val="00C752C8"/>
    <w:rsid w:val="00C846B6"/>
    <w:rsid w:val="00C92D96"/>
    <w:rsid w:val="00CA7454"/>
    <w:rsid w:val="00CB401D"/>
    <w:rsid w:val="00CB5ABC"/>
    <w:rsid w:val="00CD22A0"/>
    <w:rsid w:val="00CD7018"/>
    <w:rsid w:val="00CE275D"/>
    <w:rsid w:val="00CE2AE5"/>
    <w:rsid w:val="00CF578F"/>
    <w:rsid w:val="00CF5AEA"/>
    <w:rsid w:val="00D07C72"/>
    <w:rsid w:val="00D12317"/>
    <w:rsid w:val="00D1386A"/>
    <w:rsid w:val="00D1554F"/>
    <w:rsid w:val="00D15597"/>
    <w:rsid w:val="00D859EC"/>
    <w:rsid w:val="00DC0301"/>
    <w:rsid w:val="00DC4552"/>
    <w:rsid w:val="00DD24B5"/>
    <w:rsid w:val="00DF5F73"/>
    <w:rsid w:val="00DF60A8"/>
    <w:rsid w:val="00E00B3A"/>
    <w:rsid w:val="00E03E7B"/>
    <w:rsid w:val="00E05557"/>
    <w:rsid w:val="00E06C00"/>
    <w:rsid w:val="00E075A2"/>
    <w:rsid w:val="00E10209"/>
    <w:rsid w:val="00E14867"/>
    <w:rsid w:val="00E353D2"/>
    <w:rsid w:val="00E74755"/>
    <w:rsid w:val="00E765B2"/>
    <w:rsid w:val="00E8323D"/>
    <w:rsid w:val="00E839A6"/>
    <w:rsid w:val="00E92DD3"/>
    <w:rsid w:val="00E95354"/>
    <w:rsid w:val="00EA5D70"/>
    <w:rsid w:val="00EA7FD8"/>
    <w:rsid w:val="00EC561C"/>
    <w:rsid w:val="00ED0A87"/>
    <w:rsid w:val="00F11B2B"/>
    <w:rsid w:val="00F11E23"/>
    <w:rsid w:val="00F229D5"/>
    <w:rsid w:val="00F43596"/>
    <w:rsid w:val="00F43D3E"/>
    <w:rsid w:val="00F8220E"/>
    <w:rsid w:val="00F86311"/>
    <w:rsid w:val="00F8779E"/>
    <w:rsid w:val="00F92EC6"/>
    <w:rsid w:val="00FC4729"/>
    <w:rsid w:val="00FE1E4D"/>
    <w:rsid w:val="00FF23EB"/>
    <w:rsid w:val="00FF67C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BD102"/>
  <w15:chartTrackingRefBased/>
  <w15:docId w15:val="{1252D2F3-15CA-4240-BB96-BF03D339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40127"/>
    <w:rPr>
      <w:kern w:val="0"/>
      <w14:ligatures w14:val="none"/>
    </w:rPr>
  </w:style>
  <w:style w:type="paragraph" w:styleId="Pealkiri1">
    <w:name w:val="heading 1"/>
    <w:basedOn w:val="Normaallaad"/>
    <w:link w:val="Pealkiri1Mrk"/>
    <w:uiPriority w:val="9"/>
    <w:qFormat/>
    <w:rsid w:val="00DD24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440127"/>
    <w:pPr>
      <w:autoSpaceDE w:val="0"/>
      <w:autoSpaceDN w:val="0"/>
      <w:adjustRightInd w:val="0"/>
      <w:spacing w:after="0" w:line="240" w:lineRule="auto"/>
    </w:pPr>
    <w:rPr>
      <w:rFonts w:ascii="Times New Roman" w:hAnsi="Times New Roman" w:cs="Times New Roman"/>
      <w:color w:val="000000"/>
      <w:kern w:val="0"/>
      <w:sz w:val="24"/>
      <w:szCs w:val="24"/>
    </w:rPr>
  </w:style>
  <w:style w:type="table" w:styleId="Kontuurtabel">
    <w:name w:val="Table Grid"/>
    <w:basedOn w:val="Normaaltabel"/>
    <w:uiPriority w:val="39"/>
    <w:rsid w:val="00AD4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5D437C"/>
    <w:pPr>
      <w:spacing w:after="0" w:line="240" w:lineRule="auto"/>
      <w:ind w:left="720"/>
      <w:contextualSpacing/>
    </w:pPr>
    <w:rPr>
      <w:rFonts w:ascii="Aptos" w:hAnsi="Aptos" w:cs="Aptos"/>
      <w:sz w:val="24"/>
      <w:szCs w:val="24"/>
      <w:lang w:eastAsia="et-EE"/>
    </w:rPr>
  </w:style>
  <w:style w:type="character" w:customStyle="1" w:styleId="cf01">
    <w:name w:val="cf01"/>
    <w:basedOn w:val="Liguvaikefont"/>
    <w:rsid w:val="00AC2238"/>
    <w:rPr>
      <w:rFonts w:ascii="Segoe UI" w:hAnsi="Segoe UI" w:cs="Segoe UI" w:hint="default"/>
      <w:sz w:val="18"/>
      <w:szCs w:val="18"/>
    </w:rPr>
  </w:style>
  <w:style w:type="paragraph" w:customStyle="1" w:styleId="pf0">
    <w:name w:val="pf0"/>
    <w:basedOn w:val="Normaallaad"/>
    <w:rsid w:val="00AC2238"/>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Kommentaariviide">
    <w:name w:val="annotation reference"/>
    <w:basedOn w:val="Liguvaikefont"/>
    <w:uiPriority w:val="99"/>
    <w:semiHidden/>
    <w:unhideWhenUsed/>
    <w:rsid w:val="008C31B8"/>
    <w:rPr>
      <w:sz w:val="16"/>
      <w:szCs w:val="16"/>
    </w:rPr>
  </w:style>
  <w:style w:type="paragraph" w:styleId="Kommentaaritekst">
    <w:name w:val="annotation text"/>
    <w:basedOn w:val="Normaallaad"/>
    <w:link w:val="KommentaaritekstMrk"/>
    <w:uiPriority w:val="99"/>
    <w:unhideWhenUsed/>
    <w:rsid w:val="008C31B8"/>
    <w:pPr>
      <w:spacing w:line="240" w:lineRule="auto"/>
    </w:pPr>
    <w:rPr>
      <w:sz w:val="20"/>
      <w:szCs w:val="20"/>
    </w:rPr>
  </w:style>
  <w:style w:type="character" w:customStyle="1" w:styleId="KommentaaritekstMrk">
    <w:name w:val="Kommentaari tekst Märk"/>
    <w:basedOn w:val="Liguvaikefont"/>
    <w:link w:val="Kommentaaritekst"/>
    <w:uiPriority w:val="99"/>
    <w:rsid w:val="008C31B8"/>
    <w:rPr>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8C31B8"/>
    <w:rPr>
      <w:b/>
      <w:bCs/>
    </w:rPr>
  </w:style>
  <w:style w:type="character" w:customStyle="1" w:styleId="KommentaariteemaMrk">
    <w:name w:val="Kommentaari teema Märk"/>
    <w:basedOn w:val="KommentaaritekstMrk"/>
    <w:link w:val="Kommentaariteema"/>
    <w:uiPriority w:val="99"/>
    <w:semiHidden/>
    <w:rsid w:val="008C31B8"/>
    <w:rPr>
      <w:b/>
      <w:bCs/>
      <w:kern w:val="0"/>
      <w:sz w:val="20"/>
      <w:szCs w:val="20"/>
      <w14:ligatures w14:val="none"/>
    </w:rPr>
  </w:style>
  <w:style w:type="paragraph" w:styleId="Redaktsioon">
    <w:name w:val="Revision"/>
    <w:hidden/>
    <w:uiPriority w:val="99"/>
    <w:semiHidden/>
    <w:rsid w:val="00437AFD"/>
    <w:pPr>
      <w:spacing w:after="0" w:line="240" w:lineRule="auto"/>
    </w:pPr>
    <w:rPr>
      <w:kern w:val="0"/>
      <w14:ligatures w14:val="none"/>
    </w:rPr>
  </w:style>
  <w:style w:type="character" w:customStyle="1" w:styleId="Pealkiri1Mrk">
    <w:name w:val="Pealkiri 1 Märk"/>
    <w:basedOn w:val="Liguvaikefont"/>
    <w:link w:val="Pealkiri1"/>
    <w:uiPriority w:val="9"/>
    <w:rsid w:val="00DD24B5"/>
    <w:rPr>
      <w:rFonts w:ascii="Times New Roman" w:eastAsia="Times New Roman" w:hAnsi="Times New Roman" w:cs="Times New Roman"/>
      <w:b/>
      <w:bCs/>
      <w:kern w:val="36"/>
      <w:sz w:val="48"/>
      <w:szCs w:val="48"/>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A687D1518E5FB43AFB4A67121B614F0" ma:contentTypeVersion="2" ma:contentTypeDescription="Loo uus dokument" ma:contentTypeScope="" ma:versionID="05f41f39345e7ffb2641204b71cd7836">
  <xsd:schema xmlns:xsd="http://www.w3.org/2001/XMLSchema" xmlns:xs="http://www.w3.org/2001/XMLSchema" xmlns:p="http://schemas.microsoft.com/office/2006/metadata/properties" xmlns:ns1="http://schemas.microsoft.com/sharepoint/v3" xmlns:ns2="a7338fc0-1f71-47ca-af62-527eb90cb0f3" targetNamespace="http://schemas.microsoft.com/office/2006/metadata/properties" ma:root="true" ma:fieldsID="b7d18e2338e437220cd68f230ab1a59e" ns1:_="" ns2:_="">
    <xsd:import namespace="http://schemas.microsoft.com/sharepoint/v3"/>
    <xsd:import namespace="a7338fc0-1f71-47ca-af62-527eb90cb0f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astamise alguskuupäev" ma:description="Veerg Ajastamise alguskuupäev on avaldamisfunktsiooni loodud saidiveerg, mille abil määratakse kuupäev ja kellaaeg, kui lehte esimest korda külastajatele kuvatakse." ma:hidden="true" ma:internalName="PublishingStartDate">
      <xsd:simpleType>
        <xsd:restriction base="dms:Unknown"/>
      </xsd:simpleType>
    </xsd:element>
    <xsd:element name="PublishingExpirationDate" ma:index="9" nillable="true" ma:displayName="Ajastamise lõppkuupäev" ma:description="Veerg Ajastamise lõppkuupäev on avaldamisfunktsiooni loodud saidiveerg, mille abil määratakse kuupäev ja kellaaeg, kui lehte enam külastajatele ei kuvata."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338fc0-1f71-47ca-af62-527eb90cb0f3" elementFormDefault="qualified">
    <xsd:import namespace="http://schemas.microsoft.com/office/2006/documentManagement/types"/>
    <xsd:import namespace="http://schemas.microsoft.com/office/infopath/2007/PartnerControls"/>
    <xsd:element name="SharedWithUsers" ma:index="10"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48C86D-E14D-408B-8BAC-0EAA408CFFAB}">
  <ds:schemaRefs>
    <ds:schemaRef ds:uri="http://schemas.openxmlformats.org/officeDocument/2006/bibliography"/>
  </ds:schemaRefs>
</ds:datastoreItem>
</file>

<file path=customXml/itemProps2.xml><?xml version="1.0" encoding="utf-8"?>
<ds:datastoreItem xmlns:ds="http://schemas.openxmlformats.org/officeDocument/2006/customXml" ds:itemID="{55EE7E59-A89B-4AE8-90B3-0BC535B17D5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55A6458-B201-4EDA-9AC6-4F8E7ADB08AF}">
  <ds:schemaRefs>
    <ds:schemaRef ds:uri="http://schemas.microsoft.com/sharepoint/v3/contenttype/forms"/>
  </ds:schemaRefs>
</ds:datastoreItem>
</file>

<file path=customXml/itemProps4.xml><?xml version="1.0" encoding="utf-8"?>
<ds:datastoreItem xmlns:ds="http://schemas.openxmlformats.org/officeDocument/2006/customXml" ds:itemID="{B29FF0AA-EE89-46A0-A94C-F0673E88D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38fc0-1f71-47ca-af62-527eb90c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4770</Words>
  <Characters>27670</Characters>
  <Application>Microsoft Office Word</Application>
  <DocSecurity>0</DocSecurity>
  <Lines>230</Lines>
  <Paragraphs>64</Paragraphs>
  <ScaleCrop>false</ScaleCrop>
  <HeadingPairs>
    <vt:vector size="2" baseType="variant">
      <vt:variant>
        <vt:lpstr>Pealkiri</vt:lpstr>
      </vt:variant>
      <vt:variant>
        <vt:i4>1</vt:i4>
      </vt:variant>
    </vt:vector>
  </HeadingPairs>
  <TitlesOfParts>
    <vt:vector size="1" baseType="lpstr">
      <vt:lpstr/>
    </vt:vector>
  </TitlesOfParts>
  <Company>Haridus- ja Teadusministeerium</Company>
  <LinksUpToDate>false</LinksUpToDate>
  <CharactersWithSpaces>32376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Kristel Reim</dc:creator>
  <dc:description/>
  <cp:lastModifiedBy>Kristel Reim</cp:lastModifiedBy>
  <cp:revision>2</cp:revision>
  <dcterms:created xsi:type="dcterms:W3CDTF">2024-05-27T11:19:00Z</dcterms:created>
  <dcterms:modified xsi:type="dcterms:W3CDTF">2024-05-27T11:19:00Z</dcterms:modified>
  <dc:title>TemTA seletuskirja_lisa 3 (kooskõlastustabel)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0x0101004A687D1518E5FB43AFB4A67121B614F0</vt:lpwstr>
  </property>
</Properties>
</file>